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67A3A">
      <w:pPr>
        <w:jc w:val="center"/>
        <w:rPr>
          <w:rFonts w:hint="eastAsia" w:eastAsia="方正小标宋简体"/>
          <w:b/>
          <w:color w:val="auto"/>
          <w:sz w:val="48"/>
          <w:szCs w:val="48"/>
          <w:lang w:eastAsia="zh-CN"/>
        </w:rPr>
      </w:pPr>
      <w:bookmarkStart w:id="23" w:name="_GoBack"/>
      <w:bookmarkStart w:id="0" w:name="_Hlk198708932"/>
      <w:bookmarkEnd w:id="0"/>
      <w:bookmarkStart w:id="1" w:name="_Hlk186677088"/>
    </w:p>
    <w:p w14:paraId="341BEE98">
      <w:pPr>
        <w:tabs>
          <w:tab w:val="left" w:pos="420"/>
          <w:tab w:val="left" w:pos="6660"/>
        </w:tabs>
        <w:spacing w:line="520" w:lineRule="atLeast"/>
        <w:jc w:val="center"/>
        <w:rPr>
          <w:b/>
          <w:color w:val="auto"/>
          <w:sz w:val="52"/>
          <w:szCs w:val="52"/>
        </w:rPr>
      </w:pPr>
      <w:bookmarkStart w:id="2" w:name="OLE_LINK3"/>
      <w:r>
        <w:rPr>
          <w:b/>
          <w:color w:val="auto"/>
          <w:sz w:val="48"/>
          <w:szCs w:val="48"/>
        </w:rPr>
        <w:t>202</w:t>
      </w:r>
      <w:r>
        <w:rPr>
          <w:rFonts w:hint="eastAsia"/>
          <w:b/>
          <w:color w:val="auto"/>
          <w:sz w:val="48"/>
          <w:szCs w:val="48"/>
        </w:rPr>
        <w:t>5</w:t>
      </w:r>
      <w:r>
        <w:rPr>
          <w:b/>
          <w:color w:val="auto"/>
          <w:sz w:val="48"/>
          <w:szCs w:val="48"/>
        </w:rPr>
        <w:t>年</w:t>
      </w:r>
      <w:bookmarkStart w:id="3" w:name="OLE_LINK24"/>
      <w:r>
        <w:rPr>
          <w:b/>
          <w:color w:val="auto"/>
          <w:sz w:val="48"/>
          <w:szCs w:val="48"/>
        </w:rPr>
        <w:t>广东省</w:t>
      </w:r>
      <w:r>
        <w:rPr>
          <w:rFonts w:hint="eastAsia"/>
          <w:b/>
          <w:color w:val="auto"/>
          <w:sz w:val="48"/>
          <w:szCs w:val="48"/>
        </w:rPr>
        <w:t>韶关生态环境监测中心站</w:t>
      </w:r>
      <w:bookmarkEnd w:id="3"/>
      <w:r>
        <w:rPr>
          <w:rFonts w:hint="eastAsia"/>
          <w:b/>
          <w:color w:val="auto"/>
          <w:sz w:val="48"/>
          <w:szCs w:val="48"/>
        </w:rPr>
        <w:t>防爆柜、通风系统及实验台柜采购</w:t>
      </w:r>
    </w:p>
    <w:p w14:paraId="2E9D09DF">
      <w:pPr>
        <w:tabs>
          <w:tab w:val="left" w:pos="420"/>
          <w:tab w:val="left" w:pos="6660"/>
        </w:tabs>
        <w:spacing w:line="520" w:lineRule="atLeast"/>
        <w:jc w:val="center"/>
        <w:rPr>
          <w:rFonts w:ascii="宋体" w:hAnsi="宋体"/>
          <w:b/>
          <w:color w:val="auto"/>
          <w:sz w:val="52"/>
          <w:szCs w:val="52"/>
        </w:rPr>
      </w:pPr>
      <w:r>
        <w:rPr>
          <w:rFonts w:ascii="宋体" w:hAnsi="宋体"/>
          <w:b/>
          <w:color w:val="auto"/>
          <w:sz w:val="52"/>
          <w:szCs w:val="52"/>
        </w:rPr>
        <w:t>采购需求</w:t>
      </w:r>
    </w:p>
    <w:bookmarkEnd w:id="2"/>
    <w:p w14:paraId="599082E2">
      <w:pPr>
        <w:tabs>
          <w:tab w:val="left" w:pos="420"/>
          <w:tab w:val="left" w:pos="6660"/>
        </w:tabs>
        <w:jc w:val="center"/>
        <w:rPr>
          <w:rFonts w:eastAsia="方正小标宋简体"/>
          <w:color w:val="auto"/>
          <w:sz w:val="48"/>
          <w:szCs w:val="48"/>
        </w:rPr>
      </w:pPr>
    </w:p>
    <w:p w14:paraId="17F9EDE6">
      <w:pPr>
        <w:tabs>
          <w:tab w:val="left" w:pos="420"/>
          <w:tab w:val="left" w:pos="6660"/>
        </w:tabs>
        <w:jc w:val="center"/>
        <w:rPr>
          <w:b/>
          <w:color w:val="auto"/>
          <w:sz w:val="48"/>
          <w:szCs w:val="48"/>
        </w:rPr>
      </w:pPr>
    </w:p>
    <w:p w14:paraId="6A284334">
      <w:pPr>
        <w:tabs>
          <w:tab w:val="left" w:pos="420"/>
          <w:tab w:val="left" w:pos="6660"/>
        </w:tabs>
        <w:rPr>
          <w:b/>
          <w:color w:val="auto"/>
          <w:sz w:val="48"/>
          <w:szCs w:val="48"/>
        </w:rPr>
      </w:pPr>
    </w:p>
    <w:p w14:paraId="25A71A01">
      <w:pPr>
        <w:pStyle w:val="15"/>
        <w:rPr>
          <w:color w:val="auto"/>
        </w:rPr>
        <w:sectPr>
          <w:headerReference r:id="rId5" w:type="default"/>
          <w:footerReference r:id="rId6" w:type="default"/>
          <w:pgSz w:w="11906" w:h="16838"/>
          <w:pgMar w:top="1440" w:right="1797" w:bottom="1440" w:left="1758" w:header="851" w:footer="992" w:gutter="0"/>
          <w:pgNumType w:fmt="upperRoman" w:start="2"/>
          <w:cols w:space="720" w:num="1"/>
          <w:docGrid w:type="linesAndChars" w:linePitch="312" w:charSpace="0"/>
        </w:sectPr>
      </w:pPr>
    </w:p>
    <w:p w14:paraId="169D525C">
      <w:pPr>
        <w:pageBreakBefore/>
        <w:numPr>
          <w:ilvl w:val="1"/>
          <w:numId w:val="0"/>
        </w:numPr>
        <w:tabs>
          <w:tab w:val="left" w:pos="1222"/>
        </w:tabs>
        <w:spacing w:before="60" w:after="60" w:line="480" w:lineRule="exact"/>
        <w:jc w:val="center"/>
        <w:outlineLvl w:val="1"/>
        <w:rPr>
          <w:rFonts w:ascii="Times New Roman" w:hAnsi="Times New Roman" w:eastAsia="黑体"/>
          <w:b/>
          <w:color w:val="auto"/>
          <w:spacing w:val="10"/>
          <w:kern w:val="0"/>
          <w:sz w:val="30"/>
          <w:szCs w:val="20"/>
        </w:rPr>
      </w:pPr>
      <w:bookmarkStart w:id="4" w:name="_Toc104300130"/>
      <w:bookmarkStart w:id="5" w:name="_Toc26791"/>
      <w:r>
        <w:rPr>
          <w:rFonts w:hint="eastAsia" w:ascii="Times New Roman" w:hAnsi="Times New Roman" w:eastAsia="黑体"/>
          <w:b/>
          <w:color w:val="auto"/>
          <w:spacing w:val="10"/>
          <w:kern w:val="0"/>
          <w:sz w:val="30"/>
          <w:szCs w:val="20"/>
        </w:rPr>
        <w:t xml:space="preserve">一 </w:t>
      </w:r>
      <w:r>
        <w:rPr>
          <w:rFonts w:ascii="Times New Roman" w:hAnsi="Times New Roman" w:eastAsia="黑体"/>
          <w:b/>
          <w:color w:val="auto"/>
          <w:spacing w:val="10"/>
          <w:kern w:val="0"/>
          <w:sz w:val="30"/>
          <w:szCs w:val="20"/>
        </w:rPr>
        <w:t>项目采购内容</w:t>
      </w:r>
      <w:bookmarkEnd w:id="4"/>
      <w:bookmarkEnd w:id="5"/>
    </w:p>
    <w:p w14:paraId="2C6D5D87">
      <w:pPr>
        <w:numPr>
          <w:ilvl w:val="2"/>
          <w:numId w:val="0"/>
        </w:numPr>
        <w:tabs>
          <w:tab w:val="left" w:pos="180"/>
          <w:tab w:val="left" w:pos="1003"/>
        </w:tabs>
        <w:spacing w:before="60" w:after="60" w:line="480" w:lineRule="exact"/>
        <w:ind w:left="1"/>
        <w:jc w:val="left"/>
        <w:outlineLvl w:val="2"/>
        <w:rPr>
          <w:rFonts w:ascii="Times New Roman" w:hAnsi="Times New Roman" w:eastAsia="黑体"/>
          <w:b/>
          <w:bCs/>
          <w:color w:val="auto"/>
          <w:spacing w:val="10"/>
          <w:kern w:val="0"/>
          <w:sz w:val="28"/>
          <w:szCs w:val="20"/>
        </w:rPr>
      </w:pPr>
      <w:bookmarkStart w:id="6" w:name="_Toc104300131"/>
      <w:bookmarkStart w:id="7" w:name="_Toc20105"/>
      <w:bookmarkStart w:id="8" w:name="_Toc90882536"/>
      <w:bookmarkStart w:id="9" w:name="_Toc89416753"/>
      <w:bookmarkStart w:id="10" w:name="_Toc106781808"/>
      <w:bookmarkStart w:id="11" w:name="_Toc103747280"/>
      <w:bookmarkStart w:id="12" w:name="_Toc92189342"/>
      <w:bookmarkStart w:id="13" w:name="_Toc92189341"/>
      <w:bookmarkStart w:id="14" w:name="_Toc90882535"/>
      <w:r>
        <w:rPr>
          <w:rFonts w:hint="eastAsia" w:ascii="Times New Roman" w:hAnsi="Times New Roman" w:eastAsia="黑体"/>
          <w:b/>
          <w:bCs/>
          <w:color w:val="auto"/>
          <w:spacing w:val="10"/>
          <w:kern w:val="0"/>
          <w:sz w:val="28"/>
          <w:szCs w:val="20"/>
        </w:rPr>
        <w:t>1.1项目概述</w:t>
      </w:r>
      <w:bookmarkEnd w:id="6"/>
      <w:bookmarkEnd w:id="7"/>
    </w:p>
    <w:p w14:paraId="7AA9D02B">
      <w:pPr>
        <w:spacing w:after="120" w:line="480" w:lineRule="exact"/>
        <w:ind w:firstLine="484" w:firstLineChars="202"/>
        <w:rPr>
          <w:rFonts w:ascii="宋体" w:hAnsi="宋体" w:cs="宋体"/>
          <w:color w:val="auto"/>
          <w:spacing w:val="10"/>
          <w:kern w:val="0"/>
          <w:sz w:val="24"/>
        </w:rPr>
      </w:pPr>
      <w:r>
        <w:rPr>
          <w:rFonts w:hint="eastAsia" w:ascii="宋体" w:hAnsi="宋体" w:cs="宋体"/>
          <w:color w:val="auto"/>
          <w:sz w:val="24"/>
        </w:rPr>
        <w:t>通过更换</w:t>
      </w:r>
      <w:r>
        <w:rPr>
          <w:rFonts w:hint="eastAsia" w:ascii="Times New Roman" w:hAnsi="Times New Roman"/>
          <w:color w:val="auto"/>
          <w:spacing w:val="10"/>
          <w:kern w:val="0"/>
          <w:sz w:val="24"/>
          <w:szCs w:val="22"/>
        </w:rPr>
        <w:t>易制毒易制爆、</w:t>
      </w:r>
      <w:r>
        <w:rPr>
          <w:rFonts w:hint="eastAsia"/>
          <w:bCs/>
          <w:color w:val="auto"/>
          <w:sz w:val="24"/>
        </w:rPr>
        <w:t>危废存放室防爆柜和边台</w:t>
      </w:r>
      <w:r>
        <w:rPr>
          <w:rFonts w:hint="eastAsia" w:ascii="宋体" w:hAnsi="宋体" w:cs="宋体"/>
          <w:color w:val="auto"/>
          <w:sz w:val="24"/>
        </w:rPr>
        <w:t>设备，完成实验室建设，改善实验室环境，优化布局，提高工作效率，提升数据质量。</w:t>
      </w:r>
    </w:p>
    <w:p w14:paraId="5FA3F070">
      <w:pPr>
        <w:numPr>
          <w:ilvl w:val="2"/>
          <w:numId w:val="0"/>
        </w:numPr>
        <w:tabs>
          <w:tab w:val="left" w:pos="180"/>
          <w:tab w:val="left" w:pos="1003"/>
        </w:tabs>
        <w:spacing w:before="60" w:after="60" w:line="480" w:lineRule="exact"/>
        <w:ind w:left="1"/>
        <w:jc w:val="left"/>
        <w:outlineLvl w:val="2"/>
        <w:rPr>
          <w:rFonts w:ascii="Times New Roman" w:hAnsi="Times New Roman" w:eastAsia="黑体"/>
          <w:b/>
          <w:bCs/>
          <w:color w:val="auto"/>
          <w:spacing w:val="10"/>
          <w:kern w:val="0"/>
          <w:sz w:val="28"/>
          <w:szCs w:val="20"/>
          <w:highlight w:val="yellow"/>
        </w:rPr>
      </w:pPr>
      <w:bookmarkStart w:id="15" w:name="_Toc104299191"/>
      <w:bookmarkEnd w:id="15"/>
      <w:bookmarkStart w:id="16" w:name="_Toc13186"/>
      <w:bookmarkStart w:id="17" w:name="_Toc104300133"/>
      <w:r>
        <w:rPr>
          <w:rFonts w:hint="eastAsia" w:ascii="Times New Roman" w:hAnsi="Times New Roman" w:eastAsia="黑体"/>
          <w:b/>
          <w:bCs/>
          <w:color w:val="auto"/>
          <w:spacing w:val="10"/>
          <w:kern w:val="0"/>
          <w:sz w:val="28"/>
          <w:szCs w:val="20"/>
        </w:rPr>
        <w:t>1.2</w:t>
      </w:r>
      <w:r>
        <w:rPr>
          <w:rFonts w:ascii="Times New Roman" w:hAnsi="Times New Roman" w:eastAsia="黑体"/>
          <w:b/>
          <w:bCs/>
          <w:color w:val="auto"/>
          <w:spacing w:val="10"/>
          <w:kern w:val="0"/>
          <w:sz w:val="28"/>
          <w:szCs w:val="20"/>
        </w:rPr>
        <w:t>项目现状</w:t>
      </w:r>
      <w:bookmarkEnd w:id="16"/>
    </w:p>
    <w:p w14:paraId="2F4BEB67">
      <w:pPr>
        <w:spacing w:after="120" w:line="480" w:lineRule="exact"/>
        <w:ind w:firstLine="484" w:firstLineChars="202"/>
        <w:rPr>
          <w:rFonts w:ascii="宋体" w:hAnsi="宋体" w:cs="宋体"/>
          <w:color w:val="auto"/>
          <w:sz w:val="24"/>
        </w:rPr>
      </w:pPr>
      <w:bookmarkStart w:id="18" w:name="_Toc104300132"/>
      <w:r>
        <w:rPr>
          <w:rFonts w:hint="eastAsia" w:ascii="宋体" w:hAnsi="宋体" w:cs="宋体"/>
          <w:color w:val="auto"/>
          <w:sz w:val="24"/>
        </w:rPr>
        <w:t>广东省韶关生态环境监测中心站（以下简称为“本部”）7层易制毒易制爆、危废存放室为分析实验中各种危险试剂存放场所。现有试剂柜已老化，密封性不足，存在试剂挥发泄漏风险，且柜体布局不合理，危废分类存放困难，导致空间浪费。为保障实验室安全运行、提升科研效率并满足实验功能扩展需求，需要购置符合实验室安全规范的新试剂柜对实验室进行升级安装</w:t>
      </w:r>
      <w:bookmarkEnd w:id="18"/>
      <w:r>
        <w:rPr>
          <w:rFonts w:hint="eastAsia" w:ascii="宋体" w:hAnsi="宋体" w:cs="宋体"/>
          <w:color w:val="auto"/>
          <w:sz w:val="24"/>
        </w:rPr>
        <w:t>，</w:t>
      </w:r>
      <w:r>
        <w:rPr>
          <w:rFonts w:hint="eastAsia" w:ascii="宋体" w:hAnsi="宋体" w:cs="宋体"/>
          <w:color w:val="auto"/>
          <w:sz w:val="24"/>
        </w:rPr>
        <w:t>预算金额40000元。</w:t>
      </w:r>
    </w:p>
    <w:p w14:paraId="0E92ABC8">
      <w:pPr>
        <w:numPr>
          <w:ilvl w:val="2"/>
          <w:numId w:val="0"/>
        </w:numPr>
        <w:tabs>
          <w:tab w:val="left" w:pos="180"/>
          <w:tab w:val="left" w:pos="1003"/>
        </w:tabs>
        <w:spacing w:before="60" w:after="60" w:line="480" w:lineRule="exact"/>
        <w:ind w:left="1"/>
        <w:jc w:val="left"/>
        <w:outlineLvl w:val="2"/>
        <w:rPr>
          <w:rFonts w:ascii="Times New Roman" w:hAnsi="Times New Roman" w:eastAsia="黑体"/>
          <w:b/>
          <w:bCs/>
          <w:color w:val="auto"/>
          <w:spacing w:val="10"/>
          <w:kern w:val="0"/>
          <w:sz w:val="28"/>
          <w:szCs w:val="20"/>
        </w:rPr>
      </w:pPr>
      <w:bookmarkStart w:id="19" w:name="_Toc1190"/>
      <w:r>
        <w:rPr>
          <w:rFonts w:hint="eastAsia" w:ascii="Times New Roman" w:hAnsi="Times New Roman" w:eastAsia="黑体"/>
          <w:b/>
          <w:bCs/>
          <w:color w:val="auto"/>
          <w:spacing w:val="10"/>
          <w:kern w:val="0"/>
          <w:sz w:val="28"/>
          <w:szCs w:val="20"/>
        </w:rPr>
        <w:t>1.3</w:t>
      </w:r>
      <w:r>
        <w:rPr>
          <w:rFonts w:ascii="Times New Roman" w:hAnsi="Times New Roman" w:eastAsia="黑体"/>
          <w:b/>
          <w:bCs/>
          <w:color w:val="auto"/>
          <w:spacing w:val="10"/>
          <w:kern w:val="0"/>
          <w:sz w:val="28"/>
          <w:szCs w:val="20"/>
        </w:rPr>
        <w:t>项目</w:t>
      </w:r>
      <w:r>
        <w:rPr>
          <w:rFonts w:hint="eastAsia" w:ascii="Times New Roman" w:hAnsi="Times New Roman" w:eastAsia="黑体"/>
          <w:b/>
          <w:bCs/>
          <w:color w:val="auto"/>
          <w:spacing w:val="10"/>
          <w:kern w:val="0"/>
          <w:sz w:val="28"/>
          <w:szCs w:val="20"/>
        </w:rPr>
        <w:t>采购内容</w:t>
      </w:r>
      <w:bookmarkEnd w:id="17"/>
      <w:bookmarkEnd w:id="19"/>
    </w:p>
    <w:p w14:paraId="7AAE25AA">
      <w:pPr>
        <w:spacing w:after="120" w:line="360" w:lineRule="auto"/>
        <w:ind w:firstLine="425"/>
        <w:rPr>
          <w:bCs/>
          <w:color w:val="auto"/>
          <w:sz w:val="24"/>
        </w:rPr>
      </w:pPr>
      <w:r>
        <w:rPr>
          <w:rFonts w:hint="eastAsia" w:ascii="仿宋_GB2312" w:hAnsi="Times New Roman"/>
          <w:color w:val="auto"/>
          <w:spacing w:val="10"/>
          <w:kern w:val="0"/>
          <w:sz w:val="24"/>
          <w:szCs w:val="20"/>
        </w:rPr>
        <w:t>项目采购内容主要包括：</w:t>
      </w:r>
      <w:r>
        <w:rPr>
          <w:rFonts w:hint="eastAsia" w:ascii="宋体" w:hAnsi="宋体"/>
          <w:color w:val="auto"/>
          <w:sz w:val="24"/>
        </w:rPr>
        <w:t>防爆柜及通风系统</w:t>
      </w:r>
      <w:r>
        <w:rPr>
          <w:rFonts w:hint="eastAsia"/>
          <w:bCs/>
          <w:color w:val="auto"/>
          <w:sz w:val="24"/>
        </w:rPr>
        <w:t>、显微镜室边台及其安装配套服务。</w:t>
      </w:r>
    </w:p>
    <w:p w14:paraId="60F73FB8">
      <w:pPr>
        <w:spacing w:after="120" w:line="360" w:lineRule="auto"/>
        <w:ind w:firstLine="425"/>
        <w:rPr>
          <w:bCs/>
          <w:color w:val="auto"/>
          <w:sz w:val="24"/>
        </w:rPr>
      </w:pPr>
      <w:r>
        <w:rPr>
          <w:rFonts w:hint="eastAsia"/>
          <w:bCs/>
          <w:color w:val="auto"/>
          <w:sz w:val="24"/>
        </w:rPr>
        <w:t>1.采购4个防爆柜，每个防爆柜长1160mm，宽610mm，高1650mm，内部带一块层板，可自由调节层高；如图1、图2所示。</w:t>
      </w:r>
    </w:p>
    <w:p w14:paraId="08545109">
      <w:pPr>
        <w:spacing w:after="120" w:line="360" w:lineRule="auto"/>
        <w:ind w:firstLine="425"/>
        <w:rPr>
          <w:bCs/>
          <w:color w:val="auto"/>
          <w:sz w:val="24"/>
        </w:rPr>
      </w:pPr>
      <w:r>
        <w:rPr>
          <w:rFonts w:hint="eastAsia"/>
          <w:bCs/>
          <w:color w:val="auto"/>
          <w:sz w:val="24"/>
        </w:rPr>
        <w:t>2.采购1套排风系统，包括：1个玻璃钢斜流风机及配套风管，风管直径1</w:t>
      </w:r>
      <w:r>
        <w:rPr>
          <w:bCs/>
          <w:color w:val="auto"/>
          <w:sz w:val="24"/>
        </w:rPr>
        <w:t>60</w:t>
      </w:r>
      <w:r>
        <w:rPr>
          <w:rFonts w:hint="eastAsia"/>
          <w:bCs/>
          <w:color w:val="auto"/>
          <w:sz w:val="24"/>
        </w:rPr>
        <w:t>mm；外墙防雨百叶（含防虫网），百叶长300mm，宽300mm；如图3所示。</w:t>
      </w:r>
    </w:p>
    <w:p w14:paraId="2BD4D792">
      <w:pPr>
        <w:spacing w:after="120" w:line="360" w:lineRule="auto"/>
        <w:ind w:firstLine="425"/>
        <w:rPr>
          <w:rFonts w:ascii="仿宋_GB2312" w:hAnsi="Times New Roman"/>
          <w:color w:val="auto"/>
          <w:spacing w:val="10"/>
          <w:kern w:val="0"/>
          <w:sz w:val="24"/>
          <w:szCs w:val="20"/>
        </w:rPr>
      </w:pPr>
      <w:r>
        <w:rPr>
          <w:rFonts w:hint="eastAsia"/>
          <w:bCs/>
          <w:color w:val="auto"/>
          <w:sz w:val="24"/>
        </w:rPr>
        <w:t>3.采购1张实验台柜，长2000mm，宽600mm，高850mm，实验台两侧各一个单门单抽柜台，如图4所示。</w:t>
      </w:r>
    </w:p>
    <w:p w14:paraId="1F5ED38F">
      <w:pPr>
        <w:pStyle w:val="2"/>
        <w:ind w:left="0" w:leftChars="0" w:firstLine="0" w:firstLineChars="0"/>
        <w:rPr>
          <w:color w:val="auto"/>
        </w:rPr>
      </w:pPr>
      <w:r>
        <w:rPr>
          <w:color w:val="auto"/>
        </w:rPr>
        <w:drawing>
          <wp:inline distT="0" distB="0" distL="0" distR="0">
            <wp:extent cx="2566035" cy="2726690"/>
            <wp:effectExtent l="0" t="0" r="5715" b="16510"/>
            <wp:docPr id="213776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7659" name="图片 1"/>
                    <pic:cNvPicPr>
                      <a:picLocks noChangeAspect="1"/>
                    </pic:cNvPicPr>
                  </pic:nvPicPr>
                  <pic:blipFill>
                    <a:blip r:embed="rId8"/>
                    <a:stretch>
                      <a:fillRect/>
                    </a:stretch>
                  </pic:blipFill>
                  <pic:spPr>
                    <a:xfrm>
                      <a:off x="0" y="0"/>
                      <a:ext cx="2566035" cy="2726690"/>
                    </a:xfrm>
                    <a:prstGeom prst="rect">
                      <a:avLst/>
                    </a:prstGeom>
                  </pic:spPr>
                </pic:pic>
              </a:graphicData>
            </a:graphic>
          </wp:inline>
        </w:drawing>
      </w:r>
    </w:p>
    <w:p w14:paraId="13E6CE6C">
      <w:pPr>
        <w:pStyle w:val="2"/>
        <w:ind w:left="0" w:leftChars="0" w:firstLine="720" w:firstLineChars="300"/>
        <w:rPr>
          <w:color w:val="auto"/>
          <w:sz w:val="24"/>
        </w:rPr>
      </w:pPr>
      <w:r>
        <w:rPr>
          <w:rFonts w:hint="eastAsia"/>
          <w:color w:val="auto"/>
          <w:sz w:val="24"/>
        </w:rPr>
        <w:t>图1  701房设计效果</w:t>
      </w:r>
    </w:p>
    <w:p w14:paraId="1889C4ED">
      <w:pPr>
        <w:pStyle w:val="2"/>
        <w:ind w:leftChars="0" w:firstLine="198" w:firstLineChars="66"/>
        <w:rPr>
          <w:color w:val="auto"/>
        </w:rPr>
      </w:pPr>
      <w:r>
        <w:rPr>
          <w:color w:val="auto"/>
        </w:rPr>
        <w:drawing>
          <wp:inline distT="0" distB="0" distL="0" distR="0">
            <wp:extent cx="2945765" cy="3079750"/>
            <wp:effectExtent l="0" t="0" r="6985" b="6350"/>
            <wp:docPr id="2791885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188560" name="图片 1"/>
                    <pic:cNvPicPr>
                      <a:picLocks noChangeAspect="1"/>
                    </pic:cNvPicPr>
                  </pic:nvPicPr>
                  <pic:blipFill>
                    <a:blip r:embed="rId9" cstate="print"/>
                    <a:stretch>
                      <a:fillRect/>
                    </a:stretch>
                  </pic:blipFill>
                  <pic:spPr>
                    <a:xfrm>
                      <a:off x="0" y="0"/>
                      <a:ext cx="2955277" cy="3089769"/>
                    </a:xfrm>
                    <a:prstGeom prst="rect">
                      <a:avLst/>
                    </a:prstGeom>
                  </pic:spPr>
                </pic:pic>
              </a:graphicData>
            </a:graphic>
          </wp:inline>
        </w:drawing>
      </w:r>
    </w:p>
    <w:p w14:paraId="78547AB5">
      <w:pPr>
        <w:pStyle w:val="2"/>
        <w:ind w:left="420" w:firstLine="480"/>
        <w:rPr>
          <w:color w:val="auto"/>
        </w:rPr>
      </w:pPr>
      <w:r>
        <w:rPr>
          <w:rFonts w:hint="eastAsia"/>
          <w:color w:val="auto"/>
          <w:sz w:val="24"/>
        </w:rPr>
        <w:t>图2  防爆柜设计效果</w:t>
      </w:r>
    </w:p>
    <w:p w14:paraId="5BF45DF3">
      <w:pPr>
        <w:spacing w:after="120" w:line="480" w:lineRule="exact"/>
        <w:ind w:firstLine="425"/>
        <w:rPr>
          <w:rFonts w:ascii="仿宋_GB2312" w:hAnsi="Times New Roman"/>
          <w:color w:val="auto"/>
          <w:spacing w:val="10"/>
          <w:kern w:val="0"/>
          <w:sz w:val="24"/>
          <w:szCs w:val="20"/>
        </w:rPr>
      </w:pPr>
      <w:r>
        <w:rPr>
          <w:color w:val="auto"/>
        </w:rPr>
        <w:drawing>
          <wp:inline distT="0" distB="0" distL="0" distR="0">
            <wp:extent cx="5274310" cy="5514340"/>
            <wp:effectExtent l="0" t="0" r="2540" b="0"/>
            <wp:docPr id="8301209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120905" name="图片 1"/>
                    <pic:cNvPicPr>
                      <a:picLocks noChangeAspect="1"/>
                    </pic:cNvPicPr>
                  </pic:nvPicPr>
                  <pic:blipFill>
                    <a:blip r:embed="rId10"/>
                    <a:stretch>
                      <a:fillRect/>
                    </a:stretch>
                  </pic:blipFill>
                  <pic:spPr>
                    <a:xfrm>
                      <a:off x="0" y="0"/>
                      <a:ext cx="5274310" cy="5514340"/>
                    </a:xfrm>
                    <a:prstGeom prst="rect">
                      <a:avLst/>
                    </a:prstGeom>
                  </pic:spPr>
                </pic:pic>
              </a:graphicData>
            </a:graphic>
          </wp:inline>
        </w:drawing>
      </w:r>
    </w:p>
    <w:p w14:paraId="48C51835">
      <w:pPr>
        <w:pStyle w:val="2"/>
        <w:ind w:left="199" w:leftChars="95" w:firstLine="198" w:firstLineChars="66"/>
        <w:rPr>
          <w:color w:val="auto"/>
        </w:rPr>
      </w:pPr>
      <w:r>
        <w:rPr>
          <w:color w:val="auto"/>
        </w:rPr>
        <w:drawing>
          <wp:inline distT="0" distB="0" distL="0" distR="0">
            <wp:extent cx="3623945" cy="4116070"/>
            <wp:effectExtent l="0" t="0" r="14605" b="17780"/>
            <wp:docPr id="8143953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395388"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623945" cy="4116070"/>
                    </a:xfrm>
                    <a:prstGeom prst="rect">
                      <a:avLst/>
                    </a:prstGeom>
                    <a:noFill/>
                    <a:ln>
                      <a:noFill/>
                    </a:ln>
                  </pic:spPr>
                </pic:pic>
              </a:graphicData>
            </a:graphic>
          </wp:inline>
        </w:drawing>
      </w:r>
    </w:p>
    <w:p w14:paraId="4C3E766E">
      <w:pPr>
        <w:pStyle w:val="2"/>
        <w:ind w:left="199" w:leftChars="95" w:firstLine="638" w:firstLineChars="266"/>
        <w:rPr>
          <w:rFonts w:ascii="宋体" w:hAnsi="宋体"/>
          <w:color w:val="auto"/>
          <w:sz w:val="24"/>
        </w:rPr>
      </w:pPr>
      <w:r>
        <w:rPr>
          <w:rFonts w:hint="eastAsia" w:ascii="宋体" w:hAnsi="宋体"/>
          <w:color w:val="auto"/>
          <w:sz w:val="24"/>
        </w:rPr>
        <w:t>图3排风系统效果</w:t>
      </w:r>
    </w:p>
    <w:p w14:paraId="13523740">
      <w:pPr>
        <w:pStyle w:val="2"/>
        <w:ind w:left="199" w:leftChars="95" w:firstLine="798" w:firstLineChars="266"/>
        <w:rPr>
          <w:color w:val="auto"/>
        </w:rPr>
      </w:pPr>
      <w:r>
        <w:rPr>
          <w:color w:val="auto"/>
        </w:rPr>
        <w:drawing>
          <wp:inline distT="0" distB="0" distL="0" distR="0">
            <wp:extent cx="4292600" cy="7414895"/>
            <wp:effectExtent l="0" t="0" r="12700" b="14605"/>
            <wp:docPr id="4076980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698082" name="图片 1"/>
                    <pic:cNvPicPr>
                      <a:picLocks noChangeAspect="1"/>
                    </pic:cNvPicPr>
                  </pic:nvPicPr>
                  <pic:blipFill>
                    <a:blip r:embed="rId12"/>
                    <a:stretch>
                      <a:fillRect/>
                    </a:stretch>
                  </pic:blipFill>
                  <pic:spPr>
                    <a:xfrm>
                      <a:off x="0" y="0"/>
                      <a:ext cx="4292600" cy="7414895"/>
                    </a:xfrm>
                    <a:prstGeom prst="rect">
                      <a:avLst/>
                    </a:prstGeom>
                  </pic:spPr>
                </pic:pic>
              </a:graphicData>
            </a:graphic>
          </wp:inline>
        </w:drawing>
      </w:r>
    </w:p>
    <w:p w14:paraId="541E4B32">
      <w:pPr>
        <w:pStyle w:val="2"/>
        <w:ind w:left="199" w:leftChars="95" w:firstLine="638" w:firstLineChars="266"/>
        <w:rPr>
          <w:color w:val="auto"/>
        </w:rPr>
      </w:pPr>
      <w:r>
        <w:rPr>
          <w:rFonts w:hint="eastAsia"/>
          <w:color w:val="auto"/>
          <w:sz w:val="24"/>
        </w:rPr>
        <w:t>图4  705房设计效果</w:t>
      </w:r>
    </w:p>
    <w:p w14:paraId="293798CE">
      <w:pPr>
        <w:pageBreakBefore/>
        <w:numPr>
          <w:ilvl w:val="1"/>
          <w:numId w:val="0"/>
        </w:numPr>
        <w:tabs>
          <w:tab w:val="left" w:pos="1222"/>
        </w:tabs>
        <w:spacing w:before="60" w:after="60" w:line="480" w:lineRule="exact"/>
        <w:ind w:left="142"/>
        <w:jc w:val="center"/>
        <w:outlineLvl w:val="1"/>
        <w:rPr>
          <w:rFonts w:ascii="Times New Roman" w:hAnsi="Times New Roman" w:eastAsia="黑体"/>
          <w:b/>
          <w:color w:val="auto"/>
          <w:spacing w:val="10"/>
          <w:kern w:val="0"/>
          <w:sz w:val="30"/>
          <w:szCs w:val="20"/>
        </w:rPr>
      </w:pPr>
      <w:bookmarkStart w:id="20" w:name="_Toc104299194"/>
      <w:bookmarkEnd w:id="20"/>
      <w:r>
        <w:rPr>
          <w:rFonts w:ascii="Times New Roman" w:hAnsi="Times New Roman" w:eastAsia="黑体"/>
          <w:b/>
          <w:color w:val="auto"/>
          <w:spacing w:val="10"/>
          <w:kern w:val="0"/>
          <w:sz w:val="30"/>
          <w:szCs w:val="20"/>
        </w:rPr>
        <w:t>二</w:t>
      </w:r>
      <w:r>
        <w:rPr>
          <w:rFonts w:hint="eastAsia" w:ascii="Times New Roman" w:hAnsi="Times New Roman" w:eastAsia="黑体"/>
          <w:b/>
          <w:color w:val="auto"/>
          <w:spacing w:val="10"/>
          <w:kern w:val="0"/>
          <w:sz w:val="30"/>
          <w:szCs w:val="20"/>
        </w:rPr>
        <w:t xml:space="preserve"> </w:t>
      </w:r>
      <w:r>
        <w:rPr>
          <w:rFonts w:ascii="Times New Roman" w:hAnsi="Times New Roman" w:eastAsia="黑体"/>
          <w:b/>
          <w:color w:val="auto"/>
          <w:spacing w:val="10"/>
          <w:kern w:val="0"/>
          <w:sz w:val="30"/>
          <w:szCs w:val="20"/>
        </w:rPr>
        <w:t>技术要求</w:t>
      </w:r>
    </w:p>
    <w:p w14:paraId="54EDCFEE">
      <w:pPr>
        <w:numPr>
          <w:ilvl w:val="2"/>
          <w:numId w:val="0"/>
        </w:numPr>
        <w:tabs>
          <w:tab w:val="left" w:pos="180"/>
          <w:tab w:val="left" w:pos="1003"/>
        </w:tabs>
        <w:spacing w:before="60" w:after="60" w:line="480" w:lineRule="exact"/>
        <w:jc w:val="left"/>
        <w:outlineLvl w:val="2"/>
        <w:rPr>
          <w:rFonts w:ascii="Times New Roman" w:hAnsi="Times New Roman" w:eastAsia="黑体"/>
          <w:b/>
          <w:color w:val="auto"/>
          <w:spacing w:val="10"/>
          <w:kern w:val="0"/>
          <w:sz w:val="28"/>
        </w:rPr>
      </w:pPr>
      <w:bookmarkStart w:id="21" w:name="_Toc2784"/>
      <w:bookmarkStart w:id="22" w:name="_Toc104300135"/>
      <w:r>
        <w:rPr>
          <w:rFonts w:hint="eastAsia" w:ascii="Times New Roman" w:hAnsi="Times New Roman" w:eastAsia="黑体"/>
          <w:b/>
          <w:color w:val="auto"/>
          <w:spacing w:val="10"/>
          <w:kern w:val="0"/>
          <w:sz w:val="28"/>
        </w:rPr>
        <w:t>2.1</w:t>
      </w:r>
      <w:bookmarkEnd w:id="21"/>
      <w:bookmarkEnd w:id="22"/>
      <w:r>
        <w:rPr>
          <w:rFonts w:hint="eastAsia" w:ascii="Times New Roman" w:hAnsi="Times New Roman" w:eastAsia="黑体"/>
          <w:b/>
          <w:color w:val="auto"/>
          <w:spacing w:val="10"/>
          <w:kern w:val="0"/>
          <w:sz w:val="28"/>
        </w:rPr>
        <w:t>防爆柜（1160*610*1650mm）</w:t>
      </w:r>
    </w:p>
    <w:p w14:paraId="424EC709">
      <w:pPr>
        <w:pStyle w:val="2"/>
        <w:spacing w:line="279" w:lineRule="auto"/>
        <w:ind w:left="0" w:leftChars="0" w:firstLine="480"/>
        <w:rPr>
          <w:rFonts w:ascii="宋体" w:hAnsi="宋体"/>
          <w:color w:val="auto"/>
          <w:sz w:val="24"/>
        </w:rPr>
      </w:pPr>
      <w:r>
        <w:rPr>
          <w:rFonts w:hint="eastAsia" w:ascii="宋体" w:hAnsi="宋体"/>
          <w:color w:val="auto"/>
          <w:sz w:val="24"/>
        </w:rPr>
        <w:t>制造标准：DB4403/T 79- 2020《危险化学品储存柜安全技术 要求及管理规范》</w:t>
      </w:r>
    </w:p>
    <w:p w14:paraId="63367B7C">
      <w:pPr>
        <w:pStyle w:val="2"/>
        <w:spacing w:line="279" w:lineRule="auto"/>
        <w:ind w:left="0" w:leftChars="0" w:firstLine="480"/>
        <w:rPr>
          <w:rFonts w:ascii="宋体" w:hAnsi="宋体"/>
          <w:color w:val="auto"/>
          <w:sz w:val="24"/>
        </w:rPr>
      </w:pPr>
      <w:r>
        <w:rPr>
          <w:rFonts w:hint="eastAsia" w:ascii="宋体" w:hAnsi="宋体"/>
          <w:color w:val="auto"/>
          <w:sz w:val="24"/>
        </w:rPr>
        <w:t>1.厚度≥1.0mm的优质钢板经过点焊接； 两层钢板之间相隔≥38mm的防火隔热空气绝缘层，三点联动式门锁，内嵌式门锁。</w:t>
      </w:r>
    </w:p>
    <w:p w14:paraId="3C2C2E5F">
      <w:pPr>
        <w:pStyle w:val="2"/>
        <w:spacing w:line="279" w:lineRule="auto"/>
        <w:ind w:left="0" w:leftChars="0" w:firstLine="480"/>
        <w:rPr>
          <w:rFonts w:ascii="宋体" w:hAnsi="宋体"/>
          <w:color w:val="auto"/>
          <w:sz w:val="24"/>
        </w:rPr>
      </w:pPr>
      <w:r>
        <w:rPr>
          <w:rFonts w:hint="eastAsia" w:ascii="宋体" w:hAnsi="宋体"/>
          <w:color w:val="auto"/>
          <w:sz w:val="24"/>
        </w:rPr>
        <w:t>2.柜体两侧装设有防闭火装置含消焰阻火器的双透气孔，由此连接抽风排风系统。</w:t>
      </w:r>
    </w:p>
    <w:p w14:paraId="05FBC2B0">
      <w:pPr>
        <w:pStyle w:val="2"/>
        <w:spacing w:line="279" w:lineRule="auto"/>
        <w:ind w:left="0" w:leftChars="0" w:firstLine="480"/>
        <w:rPr>
          <w:rFonts w:ascii="宋体" w:hAnsi="宋体"/>
          <w:color w:val="auto"/>
          <w:sz w:val="24"/>
        </w:rPr>
      </w:pPr>
      <w:r>
        <w:rPr>
          <w:rFonts w:hint="eastAsia" w:ascii="宋体" w:hAnsi="宋体"/>
          <w:color w:val="auto"/>
          <w:sz w:val="24"/>
        </w:rPr>
        <w:t>3.</w:t>
      </w:r>
      <w:r>
        <w:rPr>
          <w:rFonts w:hint="eastAsia" w:ascii="宋体" w:hAnsi="宋体"/>
          <w:color w:val="auto"/>
          <w:sz w:val="24"/>
        </w:rPr>
        <w:t>防爆柜带一块层板</w:t>
      </w:r>
      <w:r>
        <w:rPr>
          <w:rFonts w:hint="eastAsia" w:ascii="宋体" w:hAnsi="宋体"/>
          <w:color w:val="auto"/>
          <w:sz w:val="24"/>
        </w:rPr>
        <w:t>，层板可在每6厘米层挡上下之间自由调节，方便储存高矮大小不一的化学试剂，每层承重100kg以上。</w:t>
      </w:r>
    </w:p>
    <w:p w14:paraId="26689B0D">
      <w:pPr>
        <w:pStyle w:val="2"/>
        <w:spacing w:line="279" w:lineRule="auto"/>
        <w:ind w:left="0" w:leftChars="0" w:firstLine="480"/>
        <w:rPr>
          <w:rFonts w:ascii="宋体" w:hAnsi="宋体"/>
          <w:color w:val="auto"/>
          <w:sz w:val="24"/>
        </w:rPr>
      </w:pPr>
      <w:r>
        <w:rPr>
          <w:rFonts w:hint="eastAsia" w:ascii="宋体" w:hAnsi="宋体"/>
          <w:color w:val="auto"/>
          <w:sz w:val="24"/>
        </w:rPr>
        <w:t>4.柜体底部带不锈钢可调地脚。</w:t>
      </w:r>
    </w:p>
    <w:p w14:paraId="161115A5">
      <w:pPr>
        <w:pStyle w:val="2"/>
        <w:spacing w:line="279" w:lineRule="auto"/>
        <w:ind w:left="0" w:leftChars="0" w:firstLine="480"/>
        <w:rPr>
          <w:rFonts w:ascii="宋体" w:hAnsi="宋体"/>
          <w:color w:val="auto"/>
          <w:sz w:val="24"/>
        </w:rPr>
      </w:pPr>
      <w:r>
        <w:rPr>
          <w:rFonts w:hint="eastAsia" w:ascii="宋体" w:hAnsi="宋体"/>
          <w:color w:val="auto"/>
          <w:sz w:val="24"/>
        </w:rPr>
        <w:t>5.柜体设有专业，规范，显眼的专利警示标志，用手电筒照亮时，可以高强反射光线，即使在夜晚或者发生火灾停电状态也能清晰警示。</w:t>
      </w:r>
    </w:p>
    <w:p w14:paraId="28781F34">
      <w:pPr>
        <w:numPr>
          <w:ilvl w:val="2"/>
          <w:numId w:val="0"/>
        </w:numPr>
        <w:tabs>
          <w:tab w:val="left" w:pos="180"/>
          <w:tab w:val="left" w:pos="1003"/>
        </w:tabs>
        <w:spacing w:before="60" w:after="60" w:line="480" w:lineRule="exact"/>
        <w:ind w:left="1"/>
        <w:jc w:val="left"/>
        <w:outlineLvl w:val="2"/>
        <w:rPr>
          <w:rFonts w:ascii="Times New Roman" w:hAnsi="Times New Roman" w:eastAsia="黑体"/>
          <w:b/>
          <w:color w:val="auto"/>
          <w:spacing w:val="10"/>
          <w:kern w:val="0"/>
          <w:sz w:val="28"/>
        </w:rPr>
      </w:pPr>
      <w:r>
        <w:rPr>
          <w:rFonts w:hint="eastAsia" w:ascii="Times New Roman" w:hAnsi="Times New Roman" w:eastAsia="黑体"/>
          <w:b/>
          <w:color w:val="auto"/>
          <w:spacing w:val="10"/>
          <w:kern w:val="0"/>
          <w:sz w:val="28"/>
        </w:rPr>
        <w:t>2.2风机</w:t>
      </w:r>
    </w:p>
    <w:p w14:paraId="2351D393">
      <w:pPr>
        <w:pStyle w:val="2"/>
        <w:spacing w:line="279" w:lineRule="auto"/>
        <w:ind w:left="0" w:leftChars="0" w:firstLine="480"/>
        <w:rPr>
          <w:rFonts w:ascii="宋体" w:hAnsi="宋体"/>
          <w:color w:val="auto"/>
          <w:sz w:val="24"/>
        </w:rPr>
      </w:pPr>
      <w:r>
        <w:rPr>
          <w:rFonts w:hint="eastAsia" w:ascii="宋体" w:hAnsi="宋体"/>
          <w:color w:val="auto"/>
          <w:sz w:val="24"/>
        </w:rPr>
        <w:t>1.玻璃钢斜流风机，机号：2.5F，转速1450</w:t>
      </w:r>
      <w:r>
        <w:rPr>
          <w:rFonts w:ascii="宋体" w:hAnsi="宋体"/>
          <w:color w:val="auto"/>
          <w:sz w:val="24"/>
        </w:rPr>
        <w:t>r/min</w:t>
      </w:r>
      <w:r>
        <w:rPr>
          <w:rFonts w:hint="eastAsia" w:ascii="宋体" w:hAnsi="宋体"/>
          <w:color w:val="auto"/>
          <w:sz w:val="24"/>
        </w:rPr>
        <w:t>风量600-1400M3/H风压160-60Pa电机0.12KW</w:t>
      </w:r>
    </w:p>
    <w:p w14:paraId="152E8566">
      <w:pPr>
        <w:pStyle w:val="2"/>
        <w:spacing w:line="279" w:lineRule="auto"/>
        <w:ind w:left="0" w:leftChars="0" w:firstLine="480"/>
        <w:rPr>
          <w:rFonts w:ascii="宋体" w:hAnsi="宋体"/>
          <w:color w:val="auto"/>
          <w:sz w:val="24"/>
        </w:rPr>
      </w:pPr>
      <w:r>
        <w:rPr>
          <w:rFonts w:hint="eastAsia" w:ascii="宋体" w:hAnsi="宋体"/>
          <w:color w:val="auto"/>
          <w:sz w:val="24"/>
        </w:rPr>
        <w:t>2.</w:t>
      </w:r>
      <w:r>
        <w:rPr>
          <w:rFonts w:hint="eastAsia"/>
          <w:color w:val="auto"/>
        </w:rPr>
        <w:t xml:space="preserve"> </w:t>
      </w:r>
      <w:r>
        <w:rPr>
          <w:rFonts w:hint="eastAsia" w:ascii="宋体" w:hAnsi="宋体"/>
          <w:color w:val="auto"/>
          <w:sz w:val="24"/>
        </w:rPr>
        <w:t>阻燃型PP圆形风管3米φ</w:t>
      </w:r>
      <w:r>
        <w:rPr>
          <w:rFonts w:ascii="宋体" w:hAnsi="宋体"/>
          <w:color w:val="auto"/>
          <w:sz w:val="24"/>
        </w:rPr>
        <w:t>160</w:t>
      </w:r>
      <w:r>
        <w:rPr>
          <w:rFonts w:hint="eastAsia" w:ascii="宋体" w:hAnsi="宋体"/>
          <w:color w:val="auto"/>
          <w:sz w:val="24"/>
        </w:rPr>
        <w:t>和6米φ</w:t>
      </w:r>
      <w:r>
        <w:rPr>
          <w:rFonts w:ascii="宋体" w:hAnsi="宋体"/>
          <w:color w:val="auto"/>
          <w:sz w:val="24"/>
        </w:rPr>
        <w:t>1</w:t>
      </w:r>
      <w:r>
        <w:rPr>
          <w:rFonts w:hint="eastAsia" w:ascii="宋体" w:hAnsi="宋体"/>
          <w:color w:val="auto"/>
          <w:sz w:val="24"/>
        </w:rPr>
        <w:t>1</w:t>
      </w:r>
      <w:r>
        <w:rPr>
          <w:rFonts w:ascii="宋体" w:hAnsi="宋体"/>
          <w:color w:val="auto"/>
          <w:sz w:val="24"/>
        </w:rPr>
        <w:t>0</w:t>
      </w:r>
      <w:r>
        <w:rPr>
          <w:rFonts w:hint="eastAsia" w:ascii="宋体" w:hAnsi="宋体"/>
          <w:color w:val="auto"/>
          <w:sz w:val="24"/>
        </w:rPr>
        <w:t>。</w:t>
      </w:r>
    </w:p>
    <w:p w14:paraId="34C0491C">
      <w:pPr>
        <w:numPr>
          <w:ilvl w:val="2"/>
          <w:numId w:val="0"/>
        </w:numPr>
        <w:tabs>
          <w:tab w:val="left" w:pos="180"/>
          <w:tab w:val="left" w:pos="1003"/>
        </w:tabs>
        <w:spacing w:before="60" w:after="60" w:line="480" w:lineRule="exact"/>
        <w:ind w:left="1"/>
        <w:jc w:val="left"/>
        <w:outlineLvl w:val="2"/>
        <w:rPr>
          <w:rFonts w:ascii="Times New Roman" w:hAnsi="Times New Roman" w:eastAsia="黑体"/>
          <w:b/>
          <w:color w:val="auto"/>
          <w:spacing w:val="10"/>
          <w:kern w:val="0"/>
          <w:sz w:val="28"/>
        </w:rPr>
      </w:pPr>
      <w:r>
        <w:rPr>
          <w:rFonts w:hint="eastAsia" w:ascii="Times New Roman" w:hAnsi="Times New Roman" w:eastAsia="黑体"/>
          <w:b/>
          <w:color w:val="auto"/>
          <w:spacing w:val="10"/>
          <w:kern w:val="0"/>
          <w:sz w:val="28"/>
        </w:rPr>
        <w:t>2.3实验台、柜台（2000*600*850）</w:t>
      </w:r>
    </w:p>
    <w:p w14:paraId="6A83A527">
      <w:pPr>
        <w:pStyle w:val="2"/>
        <w:spacing w:line="279" w:lineRule="auto"/>
        <w:ind w:left="0" w:leftChars="0" w:firstLine="480"/>
        <w:rPr>
          <w:rFonts w:ascii="宋体" w:hAnsi="宋体"/>
          <w:color w:val="auto"/>
          <w:sz w:val="24"/>
        </w:rPr>
      </w:pPr>
      <w:r>
        <w:rPr>
          <w:rFonts w:hint="eastAsia" w:ascii="宋体" w:hAnsi="宋体"/>
          <w:color w:val="auto"/>
          <w:sz w:val="24"/>
        </w:rPr>
        <w:t>2</w:t>
      </w:r>
      <w:r>
        <w:rPr>
          <w:rFonts w:ascii="宋体" w:hAnsi="宋体"/>
          <w:color w:val="auto"/>
          <w:sz w:val="24"/>
        </w:rPr>
        <w:t>.3.1</w:t>
      </w:r>
      <w:r>
        <w:rPr>
          <w:rFonts w:hint="eastAsia" w:ascii="宋体" w:hAnsi="宋体"/>
          <w:color w:val="auto"/>
          <w:sz w:val="24"/>
        </w:rPr>
        <w:t>实验台</w:t>
      </w:r>
    </w:p>
    <w:p w14:paraId="4FC193B5">
      <w:pPr>
        <w:pStyle w:val="2"/>
        <w:spacing w:line="279" w:lineRule="auto"/>
        <w:ind w:left="0" w:leftChars="0" w:firstLine="480"/>
        <w:rPr>
          <w:rFonts w:ascii="宋体" w:hAnsi="宋体"/>
          <w:color w:val="auto"/>
          <w:sz w:val="24"/>
        </w:rPr>
      </w:pPr>
      <w:r>
        <w:rPr>
          <w:rFonts w:hint="eastAsia" w:ascii="宋体" w:hAnsi="宋体"/>
          <w:color w:val="auto"/>
          <w:sz w:val="24"/>
        </w:rPr>
        <w:t>总体要求：台面采用≥12.7mm厚实心理化板。设计制造标准需要符合国家相关标准，并满足以下技术参数及要求，相应检测报告证明文件需加盖生产厂家公章。</w:t>
      </w:r>
    </w:p>
    <w:p w14:paraId="0C299A66">
      <w:pPr>
        <w:pStyle w:val="2"/>
        <w:spacing w:line="279" w:lineRule="auto"/>
        <w:ind w:left="0" w:leftChars="0" w:firstLine="480"/>
        <w:rPr>
          <w:rFonts w:hint="eastAsia" w:ascii="宋体" w:hAnsi="宋体"/>
          <w:color w:val="auto"/>
          <w:sz w:val="24"/>
        </w:rPr>
      </w:pPr>
      <w:r>
        <w:rPr>
          <w:rFonts w:hint="eastAsia" w:ascii="宋体" w:hAnsi="宋体"/>
          <w:color w:val="auto"/>
          <w:sz w:val="24"/>
          <w:lang w:eastAsia="zh-CN"/>
        </w:rPr>
        <w:t>（1）</w:t>
      </w:r>
      <w:r>
        <w:rPr>
          <w:rFonts w:hint="eastAsia" w:ascii="宋体" w:hAnsi="宋体"/>
          <w:color w:val="auto"/>
          <w:sz w:val="24"/>
        </w:rPr>
        <w:t>每米至少配置3个新国标 10A插座，一个新国标16A插座；</w:t>
      </w:r>
    </w:p>
    <w:p w14:paraId="5B78D16A">
      <w:pPr>
        <w:pStyle w:val="2"/>
        <w:spacing w:line="279" w:lineRule="auto"/>
        <w:ind w:left="0" w:leftChars="0" w:firstLine="480"/>
        <w:rPr>
          <w:rFonts w:ascii="宋体" w:hAnsi="宋体"/>
          <w:color w:val="auto"/>
          <w:sz w:val="24"/>
        </w:rPr>
      </w:pPr>
      <w:r>
        <w:rPr>
          <w:rFonts w:hint="eastAsia" w:ascii="宋体" w:hAnsi="宋体"/>
          <w:color w:val="auto"/>
          <w:sz w:val="24"/>
        </w:rPr>
        <w:t>（</w:t>
      </w:r>
      <w:r>
        <w:rPr>
          <w:rFonts w:hint="eastAsia" w:ascii="宋体" w:hAnsi="宋体"/>
          <w:color w:val="auto"/>
          <w:sz w:val="24"/>
          <w:lang w:val="en-US" w:eastAsia="zh-CN"/>
        </w:rPr>
        <w:t>2</w:t>
      </w:r>
      <w:r>
        <w:rPr>
          <w:rFonts w:hint="eastAsia" w:ascii="宋体" w:hAnsi="宋体"/>
          <w:color w:val="auto"/>
          <w:sz w:val="24"/>
        </w:rPr>
        <w:t>）台面板耐化学性，需提供耐化学/耐污染检测报告。测试至少包含SEFA3-2010标准中涉及</w:t>
      </w:r>
      <w:r>
        <w:rPr>
          <w:rFonts w:ascii="宋体" w:hAnsi="宋体"/>
          <w:color w:val="auto"/>
          <w:sz w:val="24"/>
        </w:rPr>
        <w:t>49</w:t>
      </w:r>
      <w:r>
        <w:rPr>
          <w:rFonts w:hint="eastAsia" w:ascii="宋体" w:hAnsi="宋体"/>
          <w:color w:val="auto"/>
          <w:sz w:val="24"/>
        </w:rPr>
        <w:t>种检测种类，测试结果等级为0级的不少于4</w:t>
      </w:r>
      <w:r>
        <w:rPr>
          <w:rFonts w:ascii="宋体" w:hAnsi="宋体"/>
          <w:color w:val="auto"/>
          <w:sz w:val="24"/>
        </w:rPr>
        <w:t>8</w:t>
      </w:r>
      <w:r>
        <w:rPr>
          <w:rFonts w:hint="eastAsia" w:ascii="宋体" w:hAnsi="宋体"/>
          <w:color w:val="auto"/>
          <w:sz w:val="24"/>
        </w:rPr>
        <w:t>项。参与投标的厂家需提供满足以上要求的台面板相应检测报告复印件用于佐证。</w:t>
      </w:r>
    </w:p>
    <w:p w14:paraId="4506A740">
      <w:pPr>
        <w:pStyle w:val="2"/>
        <w:spacing w:line="279" w:lineRule="auto"/>
        <w:ind w:left="0" w:leftChars="0" w:firstLine="480"/>
        <w:rPr>
          <w:rFonts w:ascii="宋体" w:hAnsi="宋体"/>
          <w:color w:val="auto"/>
          <w:sz w:val="24"/>
        </w:rPr>
      </w:pPr>
      <w:r>
        <w:rPr>
          <w:rFonts w:hint="eastAsia" w:ascii="宋体" w:hAnsi="宋体"/>
          <w:color w:val="auto"/>
          <w:sz w:val="24"/>
        </w:rPr>
        <w:t>（</w:t>
      </w:r>
      <w:r>
        <w:rPr>
          <w:rFonts w:hint="eastAsia" w:ascii="宋体" w:hAnsi="宋体"/>
          <w:color w:val="auto"/>
          <w:sz w:val="24"/>
          <w:lang w:val="en-US" w:eastAsia="zh-CN"/>
        </w:rPr>
        <w:t>3</w:t>
      </w:r>
      <w:r>
        <w:rPr>
          <w:rFonts w:hint="eastAsia" w:ascii="宋体" w:hAnsi="宋体"/>
          <w:color w:val="auto"/>
          <w:sz w:val="24"/>
        </w:rPr>
        <w:t>）为了便于验收，所选用板材品牌背面必须有清晰的品牌防伪标志。为保证工程项目售后服务质量，参与投标厂家需提供满足以上参数及要求的台面板厂家针对本项目出具的《授权书》、《参数确认函》、《售后服务承诺书》。</w:t>
      </w:r>
    </w:p>
    <w:p w14:paraId="2B4B10A0">
      <w:pPr>
        <w:pStyle w:val="2"/>
        <w:spacing w:line="279" w:lineRule="auto"/>
        <w:ind w:left="0" w:leftChars="0" w:firstLine="480"/>
        <w:rPr>
          <w:rFonts w:ascii="宋体" w:hAnsi="宋体"/>
          <w:color w:val="auto"/>
          <w:sz w:val="24"/>
        </w:rPr>
      </w:pPr>
      <w:r>
        <w:rPr>
          <w:rFonts w:hint="eastAsia" w:ascii="宋体" w:hAnsi="宋体"/>
          <w:color w:val="auto"/>
          <w:sz w:val="24"/>
        </w:rPr>
        <w:t>2.</w:t>
      </w:r>
      <w:r>
        <w:rPr>
          <w:rFonts w:ascii="宋体" w:hAnsi="宋体"/>
          <w:color w:val="auto"/>
          <w:sz w:val="24"/>
        </w:rPr>
        <w:t>3.2</w:t>
      </w:r>
      <w:r>
        <w:rPr>
          <w:rFonts w:hint="eastAsia" w:ascii="宋体" w:hAnsi="宋体"/>
          <w:color w:val="auto"/>
          <w:sz w:val="24"/>
        </w:rPr>
        <w:t>柜台</w:t>
      </w:r>
    </w:p>
    <w:p w14:paraId="7E152F32">
      <w:pPr>
        <w:pStyle w:val="2"/>
        <w:spacing w:line="279" w:lineRule="auto"/>
        <w:ind w:left="0" w:leftChars="0" w:firstLine="480"/>
        <w:rPr>
          <w:rFonts w:hint="eastAsia" w:ascii="宋体" w:hAnsi="宋体"/>
          <w:color w:val="auto"/>
          <w:sz w:val="24"/>
        </w:rPr>
      </w:pPr>
      <w:r>
        <w:rPr>
          <w:rFonts w:hint="eastAsia" w:ascii="宋体" w:hAnsi="宋体"/>
          <w:color w:val="auto"/>
          <w:sz w:val="24"/>
        </w:rPr>
        <w:t>（1）钢板厚度及误差满足GB/T 708-2019要求。</w:t>
      </w:r>
    </w:p>
    <w:p w14:paraId="479E4CA9">
      <w:pPr>
        <w:pStyle w:val="2"/>
        <w:spacing w:line="279" w:lineRule="auto"/>
        <w:ind w:left="0" w:leftChars="0" w:firstLine="480"/>
        <w:rPr>
          <w:rFonts w:hint="eastAsia" w:ascii="宋体" w:hAnsi="宋体"/>
          <w:color w:val="auto"/>
          <w:sz w:val="24"/>
        </w:rPr>
      </w:pPr>
      <w:r>
        <w:rPr>
          <w:rFonts w:hint="eastAsia" w:ascii="宋体" w:hAnsi="宋体"/>
          <w:color w:val="auto"/>
          <w:sz w:val="24"/>
        </w:rPr>
        <w:t>（</w:t>
      </w:r>
      <w:r>
        <w:rPr>
          <w:rFonts w:hint="eastAsia" w:ascii="宋体" w:hAnsi="宋体"/>
          <w:color w:val="auto"/>
          <w:sz w:val="24"/>
          <w:lang w:val="en-US" w:eastAsia="zh-CN"/>
        </w:rPr>
        <w:t>2</w:t>
      </w:r>
      <w:r>
        <w:rPr>
          <w:rFonts w:hint="eastAsia" w:ascii="宋体" w:hAnsi="宋体"/>
          <w:color w:val="auto"/>
          <w:sz w:val="24"/>
        </w:rPr>
        <w:t>）结构：全钢落地式，柜体样式</w:t>
      </w:r>
      <w:r>
        <w:rPr>
          <w:rFonts w:hint="eastAsia" w:ascii="宋体" w:hAnsi="宋体"/>
          <w:color w:val="auto"/>
          <w:sz w:val="24"/>
        </w:rPr>
        <w:t>带两个</w:t>
      </w:r>
      <w:r>
        <w:rPr>
          <w:rFonts w:hint="eastAsia" w:ascii="宋体" w:hAnsi="宋体"/>
          <w:color w:val="auto"/>
          <w:sz w:val="24"/>
        </w:rPr>
        <w:t>单门单抽。</w:t>
      </w:r>
    </w:p>
    <w:p w14:paraId="7C3E97A1">
      <w:pPr>
        <w:pStyle w:val="2"/>
        <w:spacing w:line="279" w:lineRule="auto"/>
        <w:ind w:left="0" w:leftChars="0" w:firstLine="480"/>
        <w:rPr>
          <w:rFonts w:hint="default" w:ascii="宋体" w:hAnsi="宋体" w:eastAsia="宋体"/>
          <w:color w:val="auto"/>
          <w:sz w:val="24"/>
          <w:lang w:val="en-US" w:eastAsia="zh-CN"/>
        </w:rPr>
      </w:pPr>
      <w:r>
        <w:rPr>
          <w:rFonts w:hint="eastAsia" w:ascii="宋体" w:hAnsi="宋体"/>
          <w:color w:val="auto"/>
          <w:sz w:val="24"/>
        </w:rPr>
        <w:t>（</w:t>
      </w:r>
      <w:r>
        <w:rPr>
          <w:rFonts w:hint="eastAsia" w:ascii="宋体" w:hAnsi="宋体"/>
          <w:color w:val="auto"/>
          <w:sz w:val="24"/>
          <w:lang w:val="en-US" w:eastAsia="zh-CN"/>
        </w:rPr>
        <w:t>3</w:t>
      </w:r>
      <w:r>
        <w:rPr>
          <w:rFonts w:hint="eastAsia" w:ascii="宋体" w:hAnsi="宋体"/>
          <w:color w:val="auto"/>
          <w:sz w:val="24"/>
        </w:rPr>
        <w:t>）粉末喷涂钢板：</w:t>
      </w:r>
      <w:r>
        <w:rPr>
          <w:rFonts w:hint="eastAsia" w:ascii="宋体" w:hAnsi="宋体"/>
          <w:color w:val="auto"/>
          <w:sz w:val="24"/>
          <w:lang w:val="en-US" w:eastAsia="zh-CN"/>
        </w:rPr>
        <w:t>测试结果依据</w:t>
      </w:r>
      <w:r>
        <w:rPr>
          <w:rFonts w:hint="eastAsia" w:ascii="宋体" w:hAnsi="宋体"/>
          <w:color w:val="auto"/>
          <w:sz w:val="24"/>
        </w:rPr>
        <w:t>GB/T 6461-2002《金属基体上金属和其他无机覆盖层 经腐蚀试验后的试样和试件的评级》标准评价，评价不低于9级；须提供具有“CMA”或“CNAS”认证标识的第三方检测机构出具的检测报告扫描件。</w:t>
      </w:r>
    </w:p>
    <w:p w14:paraId="72E91AED">
      <w:pPr>
        <w:pStyle w:val="2"/>
        <w:spacing w:line="279" w:lineRule="auto"/>
        <w:ind w:left="0" w:leftChars="0" w:firstLine="480"/>
        <w:rPr>
          <w:rFonts w:ascii="宋体" w:hAnsi="宋体"/>
          <w:color w:val="auto"/>
          <w:sz w:val="24"/>
        </w:rPr>
      </w:pPr>
      <w:r>
        <w:rPr>
          <w:rFonts w:hint="eastAsia" w:ascii="宋体" w:hAnsi="宋体"/>
          <w:color w:val="auto"/>
          <w:sz w:val="24"/>
        </w:rPr>
        <w:t>（</w:t>
      </w:r>
      <w:r>
        <w:rPr>
          <w:rFonts w:hint="eastAsia" w:ascii="宋体" w:hAnsi="宋体"/>
          <w:color w:val="auto"/>
          <w:sz w:val="24"/>
          <w:lang w:val="en-US" w:eastAsia="zh-CN"/>
        </w:rPr>
        <w:t>4</w:t>
      </w:r>
      <w:r>
        <w:rPr>
          <w:rFonts w:hint="eastAsia" w:ascii="宋体" w:hAnsi="宋体"/>
          <w:color w:val="auto"/>
          <w:sz w:val="24"/>
        </w:rPr>
        <w:t>）导轨：采用不锈钢三节静音导轨 ，导轨静音稳定、流畅 、缓冲性好，需带自动闭合功能，质量符合 QB/T 2454-2013 《家具五金抽屉 导轨》标准。商用级别。</w:t>
      </w:r>
    </w:p>
    <w:p w14:paraId="64A4CF72">
      <w:pPr>
        <w:pStyle w:val="2"/>
        <w:spacing w:line="279" w:lineRule="auto"/>
        <w:ind w:left="0" w:leftChars="0" w:firstLine="600"/>
        <w:jc w:val="center"/>
        <w:rPr>
          <w:rFonts w:ascii="黑体" w:hAnsi="黑体" w:eastAsia="黑体"/>
          <w:color w:val="auto"/>
          <w:szCs w:val="30"/>
        </w:rPr>
      </w:pPr>
      <w:r>
        <w:rPr>
          <w:rFonts w:hint="eastAsia" w:ascii="黑体" w:hAnsi="黑体" w:eastAsia="黑体"/>
          <w:color w:val="auto"/>
          <w:szCs w:val="30"/>
        </w:rPr>
        <w:t>三 质保期</w:t>
      </w:r>
    </w:p>
    <w:p w14:paraId="21B72AA6">
      <w:pPr>
        <w:pStyle w:val="2"/>
        <w:spacing w:line="279" w:lineRule="auto"/>
        <w:ind w:left="0" w:leftChars="0" w:firstLine="480"/>
        <w:rPr>
          <w:rFonts w:ascii="宋体" w:hAnsi="宋体"/>
          <w:color w:val="auto"/>
          <w:sz w:val="24"/>
        </w:rPr>
      </w:pPr>
      <w:r>
        <w:rPr>
          <w:rFonts w:hint="eastAsia" w:ascii="宋体" w:hAnsi="宋体"/>
          <w:color w:val="auto"/>
          <w:sz w:val="24"/>
        </w:rPr>
        <w:t>质保期：不少于一年，提供承诺函。</w:t>
      </w:r>
      <w:bookmarkEnd w:id="1"/>
      <w:bookmarkEnd w:id="8"/>
      <w:bookmarkEnd w:id="9"/>
      <w:bookmarkEnd w:id="10"/>
      <w:bookmarkEnd w:id="11"/>
      <w:bookmarkEnd w:id="12"/>
      <w:bookmarkEnd w:id="13"/>
      <w:bookmarkEnd w:id="14"/>
    </w:p>
    <w:bookmarkEnd w:id="2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91A75">
    <w:pPr>
      <w:pStyle w:val="20"/>
      <w:tabs>
        <w:tab w:val="center" w:pos="4320"/>
        <w:tab w:val="right" w:pos="8640"/>
        <w:tab w:val="clear" w:pos="4153"/>
        <w:tab w:val="clear" w:pos="8306"/>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BD230">
    <w:pPr>
      <w:pStyle w:val="2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BA5"/>
    <w:rsid w:val="00002FF4"/>
    <w:rsid w:val="00011620"/>
    <w:rsid w:val="00020876"/>
    <w:rsid w:val="00036063"/>
    <w:rsid w:val="00040FD5"/>
    <w:rsid w:val="00050A7A"/>
    <w:rsid w:val="00055FA0"/>
    <w:rsid w:val="00067DF7"/>
    <w:rsid w:val="0007254A"/>
    <w:rsid w:val="00083338"/>
    <w:rsid w:val="00092F16"/>
    <w:rsid w:val="000A4D78"/>
    <w:rsid w:val="000C009D"/>
    <w:rsid w:val="000C7E54"/>
    <w:rsid w:val="000D5D57"/>
    <w:rsid w:val="000F7A9C"/>
    <w:rsid w:val="0010798E"/>
    <w:rsid w:val="00112B88"/>
    <w:rsid w:val="00120E14"/>
    <w:rsid w:val="00122DF0"/>
    <w:rsid w:val="001247DE"/>
    <w:rsid w:val="00133AAD"/>
    <w:rsid w:val="001347FA"/>
    <w:rsid w:val="0014151B"/>
    <w:rsid w:val="001816B4"/>
    <w:rsid w:val="00182AD8"/>
    <w:rsid w:val="00191B98"/>
    <w:rsid w:val="001A3FEA"/>
    <w:rsid w:val="001B1447"/>
    <w:rsid w:val="001C1F73"/>
    <w:rsid w:val="001E7BE1"/>
    <w:rsid w:val="00223DAA"/>
    <w:rsid w:val="00240D2F"/>
    <w:rsid w:val="00246E83"/>
    <w:rsid w:val="00272BE1"/>
    <w:rsid w:val="00273478"/>
    <w:rsid w:val="00276E1E"/>
    <w:rsid w:val="00291689"/>
    <w:rsid w:val="00296E50"/>
    <w:rsid w:val="002F4CD7"/>
    <w:rsid w:val="003023F5"/>
    <w:rsid w:val="003169C2"/>
    <w:rsid w:val="0032085F"/>
    <w:rsid w:val="00346922"/>
    <w:rsid w:val="00351BBF"/>
    <w:rsid w:val="00360745"/>
    <w:rsid w:val="003648C4"/>
    <w:rsid w:val="003B1A0C"/>
    <w:rsid w:val="003E5B4B"/>
    <w:rsid w:val="003F5589"/>
    <w:rsid w:val="00402BA5"/>
    <w:rsid w:val="00413C93"/>
    <w:rsid w:val="00436FCC"/>
    <w:rsid w:val="004377DE"/>
    <w:rsid w:val="004434E9"/>
    <w:rsid w:val="00462E99"/>
    <w:rsid w:val="00475329"/>
    <w:rsid w:val="004A2089"/>
    <w:rsid w:val="004A3FB2"/>
    <w:rsid w:val="004A5BD8"/>
    <w:rsid w:val="005151C1"/>
    <w:rsid w:val="00543F51"/>
    <w:rsid w:val="0054578F"/>
    <w:rsid w:val="005474D2"/>
    <w:rsid w:val="00563A2D"/>
    <w:rsid w:val="005703A6"/>
    <w:rsid w:val="00576276"/>
    <w:rsid w:val="00580DF5"/>
    <w:rsid w:val="00583CA5"/>
    <w:rsid w:val="005863BE"/>
    <w:rsid w:val="005920D5"/>
    <w:rsid w:val="00592278"/>
    <w:rsid w:val="005C3895"/>
    <w:rsid w:val="005E3A0A"/>
    <w:rsid w:val="005E51EA"/>
    <w:rsid w:val="005E59EA"/>
    <w:rsid w:val="006133DB"/>
    <w:rsid w:val="00623722"/>
    <w:rsid w:val="006314AC"/>
    <w:rsid w:val="00640EEC"/>
    <w:rsid w:val="00661B54"/>
    <w:rsid w:val="006648EE"/>
    <w:rsid w:val="00665262"/>
    <w:rsid w:val="00676278"/>
    <w:rsid w:val="006A298A"/>
    <w:rsid w:val="006A6819"/>
    <w:rsid w:val="006B4A49"/>
    <w:rsid w:val="006C0FE9"/>
    <w:rsid w:val="006D7C7F"/>
    <w:rsid w:val="00700B5D"/>
    <w:rsid w:val="00707021"/>
    <w:rsid w:val="00712977"/>
    <w:rsid w:val="00714539"/>
    <w:rsid w:val="0073450A"/>
    <w:rsid w:val="0073464F"/>
    <w:rsid w:val="0074408B"/>
    <w:rsid w:val="00764868"/>
    <w:rsid w:val="007A5C1E"/>
    <w:rsid w:val="007A74B9"/>
    <w:rsid w:val="007B033E"/>
    <w:rsid w:val="007B19BE"/>
    <w:rsid w:val="007C0FF5"/>
    <w:rsid w:val="007E6542"/>
    <w:rsid w:val="00801950"/>
    <w:rsid w:val="00820460"/>
    <w:rsid w:val="00821EA3"/>
    <w:rsid w:val="00826C03"/>
    <w:rsid w:val="0083799F"/>
    <w:rsid w:val="00840CE9"/>
    <w:rsid w:val="00880B98"/>
    <w:rsid w:val="008B2D28"/>
    <w:rsid w:val="008C69AE"/>
    <w:rsid w:val="008D0177"/>
    <w:rsid w:val="008D175E"/>
    <w:rsid w:val="008F52CD"/>
    <w:rsid w:val="0091156A"/>
    <w:rsid w:val="00934E73"/>
    <w:rsid w:val="009366B3"/>
    <w:rsid w:val="0096294C"/>
    <w:rsid w:val="00970B90"/>
    <w:rsid w:val="00982C43"/>
    <w:rsid w:val="00994F9D"/>
    <w:rsid w:val="009A546B"/>
    <w:rsid w:val="009C4117"/>
    <w:rsid w:val="009F04AD"/>
    <w:rsid w:val="00A07DDD"/>
    <w:rsid w:val="00A26546"/>
    <w:rsid w:val="00A27A9A"/>
    <w:rsid w:val="00A44D5F"/>
    <w:rsid w:val="00A7473F"/>
    <w:rsid w:val="00AF1D95"/>
    <w:rsid w:val="00B25689"/>
    <w:rsid w:val="00B51058"/>
    <w:rsid w:val="00B7378C"/>
    <w:rsid w:val="00B77456"/>
    <w:rsid w:val="00B97ECD"/>
    <w:rsid w:val="00BA4C72"/>
    <w:rsid w:val="00BA7235"/>
    <w:rsid w:val="00BF603A"/>
    <w:rsid w:val="00C04586"/>
    <w:rsid w:val="00C1233D"/>
    <w:rsid w:val="00C15090"/>
    <w:rsid w:val="00C57661"/>
    <w:rsid w:val="00C60355"/>
    <w:rsid w:val="00C65266"/>
    <w:rsid w:val="00C73B6C"/>
    <w:rsid w:val="00C760A8"/>
    <w:rsid w:val="00CB320D"/>
    <w:rsid w:val="00CB6AE1"/>
    <w:rsid w:val="00CE6709"/>
    <w:rsid w:val="00CF2874"/>
    <w:rsid w:val="00D077BA"/>
    <w:rsid w:val="00D215FB"/>
    <w:rsid w:val="00D523E4"/>
    <w:rsid w:val="00D57525"/>
    <w:rsid w:val="00D959AD"/>
    <w:rsid w:val="00DA5705"/>
    <w:rsid w:val="00DB1E05"/>
    <w:rsid w:val="00DD7CE0"/>
    <w:rsid w:val="00DF3D02"/>
    <w:rsid w:val="00E02D7B"/>
    <w:rsid w:val="00E118B3"/>
    <w:rsid w:val="00E23B88"/>
    <w:rsid w:val="00E358B8"/>
    <w:rsid w:val="00E414F6"/>
    <w:rsid w:val="00E44726"/>
    <w:rsid w:val="00E614A0"/>
    <w:rsid w:val="00E622C3"/>
    <w:rsid w:val="00E839F4"/>
    <w:rsid w:val="00EA28DA"/>
    <w:rsid w:val="00EA5BF4"/>
    <w:rsid w:val="00EF4113"/>
    <w:rsid w:val="00EF55CF"/>
    <w:rsid w:val="00EF5EA5"/>
    <w:rsid w:val="00F05CE0"/>
    <w:rsid w:val="00F07E51"/>
    <w:rsid w:val="00F166FC"/>
    <w:rsid w:val="00F325C4"/>
    <w:rsid w:val="00F406EB"/>
    <w:rsid w:val="00F55321"/>
    <w:rsid w:val="00F875F3"/>
    <w:rsid w:val="00F90E80"/>
    <w:rsid w:val="00F92F65"/>
    <w:rsid w:val="00FA05D9"/>
    <w:rsid w:val="00FB382F"/>
    <w:rsid w:val="00FB54CF"/>
    <w:rsid w:val="00FC01ED"/>
    <w:rsid w:val="00FC291F"/>
    <w:rsid w:val="00FD34CB"/>
    <w:rsid w:val="00FD3E7F"/>
    <w:rsid w:val="01B41B8E"/>
    <w:rsid w:val="090B12C7"/>
    <w:rsid w:val="09EB6BFF"/>
    <w:rsid w:val="0ECE329B"/>
    <w:rsid w:val="11EB3540"/>
    <w:rsid w:val="140B289C"/>
    <w:rsid w:val="17400AAE"/>
    <w:rsid w:val="18AC2C30"/>
    <w:rsid w:val="1C9B514A"/>
    <w:rsid w:val="250E3604"/>
    <w:rsid w:val="25434A47"/>
    <w:rsid w:val="2CA422D8"/>
    <w:rsid w:val="2F5F441E"/>
    <w:rsid w:val="314800D9"/>
    <w:rsid w:val="3E253777"/>
    <w:rsid w:val="43116527"/>
    <w:rsid w:val="44025CE5"/>
    <w:rsid w:val="44251394"/>
    <w:rsid w:val="447173CB"/>
    <w:rsid w:val="48D43864"/>
    <w:rsid w:val="4FCB46B2"/>
    <w:rsid w:val="51750D79"/>
    <w:rsid w:val="55CF7683"/>
    <w:rsid w:val="56BB1087"/>
    <w:rsid w:val="5B1E6F96"/>
    <w:rsid w:val="60874625"/>
    <w:rsid w:val="62736E42"/>
    <w:rsid w:val="669B3601"/>
    <w:rsid w:val="6E910E31"/>
    <w:rsid w:val="6FA30763"/>
    <w:rsid w:val="74810E64"/>
    <w:rsid w:val="75200D4E"/>
    <w:rsid w:val="770B64E5"/>
    <w:rsid w:val="77ED477C"/>
    <w:rsid w:val="786057E0"/>
    <w:rsid w:val="788F5C2B"/>
    <w:rsid w:val="7B8D0D86"/>
    <w:rsid w:val="7D5674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0" w:semiHidden="0" w:name="heading 4"/>
    <w:lsdException w:qFormat="1"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Calibri" w:hAnsi="Calibri" w:eastAsia="宋体" w:cs="Times New Roman"/>
      <w:kern w:val="2"/>
      <w:sz w:val="21"/>
      <w:szCs w:val="24"/>
      <w:lang w:val="en-US" w:eastAsia="zh-CN" w:bidi="ar-SA"/>
    </w:rPr>
  </w:style>
  <w:style w:type="paragraph" w:styleId="4">
    <w:name w:val="heading 1"/>
    <w:basedOn w:val="1"/>
    <w:next w:val="1"/>
    <w:link w:val="34"/>
    <w:qFormat/>
    <w:uiPriority w:val="0"/>
    <w:pPr>
      <w:keepNext/>
      <w:keepLines/>
      <w:spacing w:before="480" w:after="80"/>
      <w:jc w:val="left"/>
      <w:outlineLvl w:val="0"/>
    </w:pPr>
    <w:rPr>
      <w:rFonts w:asciiTheme="majorHAnsi" w:hAnsiTheme="majorHAnsi" w:eastAsiaTheme="majorEastAsia" w:cstheme="majorBidi"/>
      <w:color w:val="104862" w:themeColor="accent1" w:themeShade="BF"/>
      <w:sz w:val="48"/>
      <w:szCs w:val="48"/>
    </w:rPr>
  </w:style>
  <w:style w:type="paragraph" w:styleId="5">
    <w:name w:val="heading 2"/>
    <w:basedOn w:val="1"/>
    <w:next w:val="1"/>
    <w:link w:val="35"/>
    <w:unhideWhenUsed/>
    <w:qFormat/>
    <w:uiPriority w:val="0"/>
    <w:pPr>
      <w:keepNext/>
      <w:keepLines/>
      <w:spacing w:before="160" w:after="80"/>
      <w:jc w:val="left"/>
      <w:outlineLvl w:val="1"/>
    </w:pPr>
    <w:rPr>
      <w:rFonts w:asciiTheme="majorHAnsi" w:hAnsiTheme="majorHAnsi" w:eastAsiaTheme="majorEastAsia" w:cstheme="majorBidi"/>
      <w:color w:val="104862" w:themeColor="accent1" w:themeShade="BF"/>
      <w:sz w:val="40"/>
      <w:szCs w:val="40"/>
    </w:rPr>
  </w:style>
  <w:style w:type="paragraph" w:styleId="6">
    <w:name w:val="heading 3"/>
    <w:basedOn w:val="1"/>
    <w:next w:val="1"/>
    <w:link w:val="36"/>
    <w:unhideWhenUsed/>
    <w:qFormat/>
    <w:uiPriority w:val="9"/>
    <w:pPr>
      <w:keepNext/>
      <w:keepLines/>
      <w:spacing w:before="160" w:after="80"/>
      <w:jc w:val="left"/>
      <w:outlineLvl w:val="2"/>
    </w:pPr>
    <w:rPr>
      <w:rFonts w:asciiTheme="majorHAnsi" w:hAnsiTheme="majorHAnsi" w:eastAsiaTheme="majorEastAsia" w:cstheme="majorBidi"/>
      <w:color w:val="104862" w:themeColor="accent1" w:themeShade="BF"/>
      <w:sz w:val="32"/>
      <w:szCs w:val="32"/>
    </w:rPr>
  </w:style>
  <w:style w:type="paragraph" w:styleId="7">
    <w:name w:val="heading 4"/>
    <w:basedOn w:val="1"/>
    <w:next w:val="1"/>
    <w:link w:val="37"/>
    <w:unhideWhenUsed/>
    <w:qFormat/>
    <w:uiPriority w:val="0"/>
    <w:pPr>
      <w:keepNext/>
      <w:keepLines/>
      <w:spacing w:before="80" w:after="40"/>
      <w:jc w:val="left"/>
      <w:outlineLvl w:val="3"/>
    </w:pPr>
    <w:rPr>
      <w:rFonts w:asciiTheme="minorHAnsi" w:hAnsiTheme="minorHAnsi" w:eastAsiaTheme="minorEastAsia" w:cstheme="majorBidi"/>
      <w:color w:val="104862" w:themeColor="accent1" w:themeShade="BF"/>
      <w:sz w:val="28"/>
      <w:szCs w:val="28"/>
    </w:rPr>
  </w:style>
  <w:style w:type="paragraph" w:styleId="8">
    <w:name w:val="heading 5"/>
    <w:basedOn w:val="1"/>
    <w:next w:val="1"/>
    <w:link w:val="38"/>
    <w:unhideWhenUsed/>
    <w:qFormat/>
    <w:uiPriority w:val="0"/>
    <w:pPr>
      <w:keepNext/>
      <w:keepLines/>
      <w:spacing w:before="80" w:after="40"/>
      <w:jc w:val="left"/>
      <w:outlineLvl w:val="4"/>
    </w:pPr>
    <w:rPr>
      <w:rFonts w:asciiTheme="minorHAnsi" w:hAnsiTheme="minorHAnsi" w:eastAsiaTheme="minorEastAsia" w:cstheme="majorBidi"/>
      <w:color w:val="104862" w:themeColor="accent1" w:themeShade="BF"/>
      <w:sz w:val="24"/>
    </w:rPr>
  </w:style>
  <w:style w:type="paragraph" w:styleId="9">
    <w:name w:val="heading 6"/>
    <w:basedOn w:val="1"/>
    <w:next w:val="1"/>
    <w:link w:val="39"/>
    <w:semiHidden/>
    <w:unhideWhenUsed/>
    <w:qFormat/>
    <w:uiPriority w:val="9"/>
    <w:pPr>
      <w:keepNext/>
      <w:keepLines/>
      <w:spacing w:before="40" w:after="0"/>
      <w:jc w:val="left"/>
      <w:outlineLvl w:val="5"/>
    </w:pPr>
    <w:rPr>
      <w:rFonts w:asciiTheme="minorHAnsi" w:hAnsiTheme="minorHAnsi" w:eastAsiaTheme="minorEastAsia" w:cstheme="majorBidi"/>
      <w:b/>
      <w:bCs/>
      <w:color w:val="104862" w:themeColor="accent1" w:themeShade="BF"/>
      <w:sz w:val="22"/>
    </w:rPr>
  </w:style>
  <w:style w:type="paragraph" w:styleId="10">
    <w:name w:val="heading 7"/>
    <w:basedOn w:val="1"/>
    <w:next w:val="1"/>
    <w:link w:val="40"/>
    <w:semiHidden/>
    <w:unhideWhenUsed/>
    <w:qFormat/>
    <w:uiPriority w:val="9"/>
    <w:pPr>
      <w:keepNext/>
      <w:keepLines/>
      <w:spacing w:before="40" w:after="0"/>
      <w:jc w:val="left"/>
      <w:outlineLvl w:val="6"/>
    </w:pPr>
    <w:rPr>
      <w:rFonts w:asciiTheme="minorHAnsi" w:hAnsiTheme="minorHAnsi" w:eastAsiaTheme="minorEastAsia" w:cstheme="majorBidi"/>
      <w:b/>
      <w:bCs/>
      <w:color w:val="595959" w:themeColor="text1" w:themeTint="A6"/>
      <w:sz w:val="22"/>
      <w14:textFill>
        <w14:solidFill>
          <w14:schemeClr w14:val="tx1">
            <w14:lumMod w14:val="65000"/>
            <w14:lumOff w14:val="35000"/>
          </w14:schemeClr>
        </w14:solidFill>
      </w14:textFill>
    </w:rPr>
  </w:style>
  <w:style w:type="paragraph" w:styleId="11">
    <w:name w:val="heading 8"/>
    <w:basedOn w:val="1"/>
    <w:next w:val="1"/>
    <w:link w:val="41"/>
    <w:semiHidden/>
    <w:unhideWhenUsed/>
    <w:qFormat/>
    <w:uiPriority w:val="9"/>
    <w:pPr>
      <w:keepNext/>
      <w:keepLines/>
      <w:spacing w:after="0"/>
      <w:jc w:val="left"/>
      <w:outlineLvl w:val="7"/>
    </w:pPr>
    <w:rPr>
      <w:rFonts w:asciiTheme="minorHAnsi" w:hAnsiTheme="minorHAnsi" w:eastAsiaTheme="minorEastAsia" w:cstheme="majorBidi"/>
      <w:color w:val="595959" w:themeColor="text1" w:themeTint="A6"/>
      <w:sz w:val="22"/>
      <w14:textFill>
        <w14:solidFill>
          <w14:schemeClr w14:val="tx1">
            <w14:lumMod w14:val="65000"/>
            <w14:lumOff w14:val="35000"/>
          </w14:schemeClr>
        </w14:solidFill>
      </w14:textFill>
    </w:rPr>
  </w:style>
  <w:style w:type="paragraph" w:styleId="12">
    <w:name w:val="heading 9"/>
    <w:basedOn w:val="1"/>
    <w:next w:val="1"/>
    <w:link w:val="42"/>
    <w:semiHidden/>
    <w:unhideWhenUsed/>
    <w:qFormat/>
    <w:uiPriority w:val="9"/>
    <w:pPr>
      <w:keepNext/>
      <w:keepLines/>
      <w:spacing w:after="0"/>
      <w:jc w:val="left"/>
      <w:outlineLvl w:val="8"/>
    </w:pPr>
    <w:rPr>
      <w:rFonts w:asciiTheme="minorHAnsi" w:hAnsiTheme="minorHAnsi" w:eastAsiaTheme="majorEastAsia" w:cstheme="majorBidi"/>
      <w:color w:val="595959" w:themeColor="text1" w:themeTint="A6"/>
      <w:sz w:val="22"/>
      <w14:textFill>
        <w14:solidFill>
          <w14:schemeClr w14:val="tx1">
            <w14:lumMod w14:val="65000"/>
            <w14:lumOff w14:val="35000"/>
          </w14:schemeClr>
        </w14:solidFill>
      </w14:textFill>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53"/>
    <w:qFormat/>
    <w:uiPriority w:val="0"/>
    <w:pPr>
      <w:spacing w:after="160"/>
      <w:ind w:left="200" w:firstLine="200" w:firstLineChars="200"/>
    </w:pPr>
    <w:rPr>
      <w:rFonts w:ascii="Times New Roman" w:hAnsi="Times New Roman"/>
      <w:sz w:val="30"/>
    </w:rPr>
  </w:style>
  <w:style w:type="paragraph" w:styleId="3">
    <w:name w:val="Body Text Indent"/>
    <w:basedOn w:val="1"/>
    <w:next w:val="1"/>
    <w:link w:val="52"/>
    <w:unhideWhenUsed/>
    <w:qFormat/>
    <w:uiPriority w:val="0"/>
    <w:pPr>
      <w:spacing w:after="120"/>
      <w:ind w:left="420" w:leftChars="200"/>
    </w:pPr>
  </w:style>
  <w:style w:type="paragraph" w:styleId="13">
    <w:name w:val="annotation text"/>
    <w:basedOn w:val="1"/>
    <w:link w:val="54"/>
    <w:qFormat/>
    <w:uiPriority w:val="99"/>
    <w:pPr>
      <w:jc w:val="left"/>
    </w:pPr>
  </w:style>
  <w:style w:type="paragraph" w:styleId="14">
    <w:name w:val="Body Text 3"/>
    <w:basedOn w:val="1"/>
    <w:link w:val="55"/>
    <w:qFormat/>
    <w:uiPriority w:val="0"/>
    <w:rPr>
      <w:szCs w:val="16"/>
    </w:rPr>
  </w:style>
  <w:style w:type="paragraph" w:styleId="15">
    <w:name w:val="Body Text"/>
    <w:basedOn w:val="1"/>
    <w:link w:val="56"/>
    <w:unhideWhenUsed/>
    <w:qFormat/>
    <w:uiPriority w:val="99"/>
    <w:pPr>
      <w:spacing w:after="120"/>
    </w:pPr>
  </w:style>
  <w:style w:type="paragraph" w:styleId="16">
    <w:name w:val="toc 3"/>
    <w:basedOn w:val="1"/>
    <w:next w:val="1"/>
    <w:qFormat/>
    <w:uiPriority w:val="39"/>
    <w:pPr>
      <w:ind w:left="480"/>
      <w:jc w:val="left"/>
    </w:pPr>
    <w:rPr>
      <w:i/>
      <w:iCs/>
      <w:sz w:val="20"/>
    </w:rPr>
  </w:style>
  <w:style w:type="paragraph" w:styleId="17">
    <w:name w:val="Plain Text"/>
    <w:basedOn w:val="1"/>
    <w:link w:val="57"/>
    <w:qFormat/>
    <w:uiPriority w:val="0"/>
    <w:rPr>
      <w:rFonts w:ascii="宋体" w:hAnsi="Courier New" w:cs="Courier New"/>
      <w:szCs w:val="21"/>
    </w:rPr>
  </w:style>
  <w:style w:type="paragraph" w:styleId="18">
    <w:name w:val="Date"/>
    <w:basedOn w:val="1"/>
    <w:next w:val="1"/>
    <w:link w:val="58"/>
    <w:qFormat/>
    <w:uiPriority w:val="0"/>
    <w:pPr>
      <w:ind w:left="100" w:leftChars="2500"/>
    </w:pPr>
  </w:style>
  <w:style w:type="paragraph" w:styleId="19">
    <w:name w:val="Balloon Text"/>
    <w:basedOn w:val="1"/>
    <w:link w:val="67"/>
    <w:qFormat/>
    <w:uiPriority w:val="0"/>
    <w:pPr>
      <w:spacing w:after="0" w:line="240" w:lineRule="auto"/>
    </w:pPr>
    <w:rPr>
      <w:rFonts w:ascii="Times New Roman" w:hAnsi="Times New Roman"/>
      <w:sz w:val="18"/>
      <w:szCs w:val="18"/>
    </w:rPr>
  </w:style>
  <w:style w:type="paragraph" w:styleId="20">
    <w:name w:val="footer"/>
    <w:basedOn w:val="1"/>
    <w:link w:val="59"/>
    <w:qFormat/>
    <w:uiPriority w:val="0"/>
    <w:pPr>
      <w:tabs>
        <w:tab w:val="center" w:pos="4153"/>
        <w:tab w:val="right" w:pos="8306"/>
      </w:tabs>
      <w:snapToGrid w:val="0"/>
      <w:jc w:val="left"/>
    </w:pPr>
    <w:rPr>
      <w:sz w:val="18"/>
    </w:rPr>
  </w:style>
  <w:style w:type="paragraph" w:styleId="21">
    <w:name w:val="header"/>
    <w:basedOn w:val="1"/>
    <w:link w:val="60"/>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2">
    <w:name w:val="toc 1"/>
    <w:basedOn w:val="1"/>
    <w:next w:val="1"/>
    <w:qFormat/>
    <w:uiPriority w:val="39"/>
  </w:style>
  <w:style w:type="paragraph" w:styleId="23">
    <w:name w:val="Subtitle"/>
    <w:basedOn w:val="1"/>
    <w:next w:val="1"/>
    <w:link w:val="44"/>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4">
    <w:name w:val="toc 2"/>
    <w:basedOn w:val="1"/>
    <w:next w:val="1"/>
    <w:qFormat/>
    <w:uiPriority w:val="39"/>
    <w:pPr>
      <w:tabs>
        <w:tab w:val="right" w:leader="dot" w:pos="8302"/>
      </w:tabs>
      <w:jc w:val="left"/>
    </w:pPr>
    <w:rPr>
      <w:rFonts w:ascii="仿宋_GB2312" w:hAnsi="仿宋" w:eastAsia="仿宋_GB2312"/>
      <w:b/>
      <w:smallCaps/>
      <w:kern w:val="0"/>
      <w:szCs w:val="21"/>
    </w:rPr>
  </w:style>
  <w:style w:type="paragraph" w:styleId="25">
    <w:name w:val="Normal (Web)"/>
    <w:basedOn w:val="1"/>
    <w:qFormat/>
    <w:uiPriority w:val="0"/>
    <w:pPr>
      <w:spacing w:before="100" w:beforeAutospacing="1" w:after="100" w:afterAutospacing="1"/>
      <w:jc w:val="left"/>
    </w:pPr>
    <w:rPr>
      <w:kern w:val="0"/>
      <w:sz w:val="24"/>
    </w:rPr>
  </w:style>
  <w:style w:type="paragraph" w:styleId="26">
    <w:name w:val="Title"/>
    <w:basedOn w:val="1"/>
    <w:next w:val="1"/>
    <w:link w:val="43"/>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27">
    <w:name w:val="annotation subject"/>
    <w:basedOn w:val="13"/>
    <w:next w:val="13"/>
    <w:link w:val="66"/>
    <w:qFormat/>
    <w:uiPriority w:val="0"/>
    <w:rPr>
      <w:b/>
      <w:bCs/>
    </w:rPr>
  </w:style>
  <w:style w:type="table" w:styleId="29">
    <w:name w:val="Table Grid"/>
    <w:basedOn w:val="28"/>
    <w:qFormat/>
    <w:uiPriority w:val="59"/>
    <w:pPr>
      <w:widowControl w:val="0"/>
      <w:spacing w:after="120" w:line="360" w:lineRule="auto"/>
      <w:ind w:firstLine="425"/>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page number"/>
    <w:qFormat/>
    <w:uiPriority w:val="0"/>
  </w:style>
  <w:style w:type="character" w:styleId="32">
    <w:name w:val="Hyperlink"/>
    <w:qFormat/>
    <w:uiPriority w:val="99"/>
    <w:rPr>
      <w:color w:val="0000FF"/>
      <w:u w:val="single"/>
    </w:rPr>
  </w:style>
  <w:style w:type="character" w:styleId="33">
    <w:name w:val="annotation reference"/>
    <w:basedOn w:val="30"/>
    <w:qFormat/>
    <w:uiPriority w:val="0"/>
    <w:rPr>
      <w:sz w:val="21"/>
      <w:szCs w:val="21"/>
    </w:rPr>
  </w:style>
  <w:style w:type="character" w:customStyle="1" w:styleId="34">
    <w:name w:val="标题 1 字符"/>
    <w:basedOn w:val="30"/>
    <w:link w:val="4"/>
    <w:qFormat/>
    <w:uiPriority w:val="9"/>
    <w:rPr>
      <w:rFonts w:asciiTheme="majorHAnsi" w:hAnsiTheme="majorHAnsi" w:eastAsiaTheme="majorEastAsia" w:cstheme="majorBidi"/>
      <w:color w:val="104862" w:themeColor="accent1" w:themeShade="BF"/>
      <w:sz w:val="48"/>
      <w:szCs w:val="48"/>
    </w:rPr>
  </w:style>
  <w:style w:type="character" w:customStyle="1" w:styleId="35">
    <w:name w:val="标题 2 字符"/>
    <w:basedOn w:val="30"/>
    <w:link w:val="5"/>
    <w:qFormat/>
    <w:uiPriority w:val="0"/>
    <w:rPr>
      <w:rFonts w:asciiTheme="majorHAnsi" w:hAnsiTheme="majorHAnsi" w:eastAsiaTheme="majorEastAsia" w:cstheme="majorBidi"/>
      <w:color w:val="104862" w:themeColor="accent1" w:themeShade="BF"/>
      <w:sz w:val="40"/>
      <w:szCs w:val="40"/>
    </w:rPr>
  </w:style>
  <w:style w:type="character" w:customStyle="1" w:styleId="36">
    <w:name w:val="标题 3 字符"/>
    <w:basedOn w:val="30"/>
    <w:link w:val="6"/>
    <w:qFormat/>
    <w:uiPriority w:val="9"/>
    <w:rPr>
      <w:rFonts w:asciiTheme="majorHAnsi" w:hAnsiTheme="majorHAnsi" w:eastAsiaTheme="majorEastAsia" w:cstheme="majorBidi"/>
      <w:color w:val="104862" w:themeColor="accent1" w:themeShade="BF"/>
      <w:sz w:val="32"/>
      <w:szCs w:val="32"/>
    </w:rPr>
  </w:style>
  <w:style w:type="character" w:customStyle="1" w:styleId="37">
    <w:name w:val="标题 4 字符"/>
    <w:basedOn w:val="30"/>
    <w:link w:val="7"/>
    <w:qFormat/>
    <w:uiPriority w:val="0"/>
    <w:rPr>
      <w:rFonts w:cstheme="majorBidi"/>
      <w:color w:val="104862" w:themeColor="accent1" w:themeShade="BF"/>
      <w:sz w:val="28"/>
      <w:szCs w:val="28"/>
    </w:rPr>
  </w:style>
  <w:style w:type="character" w:customStyle="1" w:styleId="38">
    <w:name w:val="标题 5 字符"/>
    <w:basedOn w:val="30"/>
    <w:link w:val="8"/>
    <w:qFormat/>
    <w:uiPriority w:val="0"/>
    <w:rPr>
      <w:rFonts w:cstheme="majorBidi"/>
      <w:color w:val="104862" w:themeColor="accent1" w:themeShade="BF"/>
      <w:sz w:val="24"/>
    </w:rPr>
  </w:style>
  <w:style w:type="character" w:customStyle="1" w:styleId="39">
    <w:name w:val="标题 6 字符"/>
    <w:basedOn w:val="30"/>
    <w:link w:val="9"/>
    <w:semiHidden/>
    <w:qFormat/>
    <w:uiPriority w:val="9"/>
    <w:rPr>
      <w:rFonts w:cstheme="majorBidi"/>
      <w:b/>
      <w:bCs/>
      <w:color w:val="104862" w:themeColor="accent1" w:themeShade="BF"/>
    </w:rPr>
  </w:style>
  <w:style w:type="character" w:customStyle="1" w:styleId="40">
    <w:name w:val="标题 7 字符"/>
    <w:basedOn w:val="30"/>
    <w:link w:val="10"/>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41">
    <w:name w:val="标题 8 字符"/>
    <w:basedOn w:val="30"/>
    <w:link w:val="11"/>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42">
    <w:name w:val="标题 9 字符"/>
    <w:basedOn w:val="30"/>
    <w:link w:val="12"/>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3">
    <w:name w:val="标题 字符"/>
    <w:basedOn w:val="30"/>
    <w:link w:val="26"/>
    <w:qFormat/>
    <w:uiPriority w:val="10"/>
    <w:rPr>
      <w:rFonts w:asciiTheme="majorHAnsi" w:hAnsiTheme="majorHAnsi" w:eastAsiaTheme="majorEastAsia" w:cstheme="majorBidi"/>
      <w:spacing w:val="-10"/>
      <w:kern w:val="28"/>
      <w:sz w:val="56"/>
      <w:szCs w:val="56"/>
    </w:rPr>
  </w:style>
  <w:style w:type="character" w:customStyle="1" w:styleId="44">
    <w:name w:val="副标题 字符"/>
    <w:basedOn w:val="30"/>
    <w:link w:val="2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45">
    <w:name w:val="Quote"/>
    <w:basedOn w:val="1"/>
    <w:next w:val="1"/>
    <w:link w:val="46"/>
    <w:qFormat/>
    <w:uiPriority w:val="29"/>
    <w:pPr>
      <w:spacing w:before="160"/>
      <w:jc w:val="center"/>
    </w:pPr>
    <w:rPr>
      <w:rFonts w:asciiTheme="minorHAnsi" w:hAnsiTheme="minorHAnsi" w:eastAsiaTheme="minorEastAsia" w:cstheme="minorBidi"/>
      <w:i/>
      <w:iCs/>
      <w:color w:val="404040" w:themeColor="text1" w:themeTint="BF"/>
      <w:sz w:val="22"/>
      <w14:textFill>
        <w14:solidFill>
          <w14:schemeClr w14:val="tx1">
            <w14:lumMod w14:val="75000"/>
            <w14:lumOff w14:val="25000"/>
          </w14:schemeClr>
        </w14:solidFill>
      </w14:textFill>
    </w:rPr>
  </w:style>
  <w:style w:type="character" w:customStyle="1" w:styleId="46">
    <w:name w:val="引用 字符"/>
    <w:basedOn w:val="30"/>
    <w:link w:val="45"/>
    <w:qFormat/>
    <w:uiPriority w:val="29"/>
    <w:rPr>
      <w:i/>
      <w:iCs/>
      <w:color w:val="404040" w:themeColor="text1" w:themeTint="BF"/>
      <w14:textFill>
        <w14:solidFill>
          <w14:schemeClr w14:val="tx1">
            <w14:lumMod w14:val="75000"/>
            <w14:lumOff w14:val="25000"/>
          </w14:schemeClr>
        </w14:solidFill>
      </w14:textFill>
    </w:rPr>
  </w:style>
  <w:style w:type="paragraph" w:styleId="47">
    <w:name w:val="List Paragraph"/>
    <w:basedOn w:val="1"/>
    <w:qFormat/>
    <w:uiPriority w:val="1"/>
    <w:pPr>
      <w:ind w:left="720"/>
      <w:contextualSpacing/>
      <w:jc w:val="left"/>
    </w:pPr>
    <w:rPr>
      <w:rFonts w:asciiTheme="minorHAnsi" w:hAnsiTheme="minorHAnsi" w:eastAsiaTheme="minorEastAsia" w:cstheme="minorBidi"/>
      <w:sz w:val="22"/>
    </w:rPr>
  </w:style>
  <w:style w:type="character" w:customStyle="1" w:styleId="48">
    <w:name w:val="明显强调1"/>
    <w:basedOn w:val="30"/>
    <w:qFormat/>
    <w:uiPriority w:val="21"/>
    <w:rPr>
      <w:i/>
      <w:iCs/>
      <w:color w:val="104862" w:themeColor="accent1" w:themeShade="BF"/>
    </w:rPr>
  </w:style>
  <w:style w:type="paragraph" w:styleId="49">
    <w:name w:val="Intense Quote"/>
    <w:basedOn w:val="1"/>
    <w:next w:val="1"/>
    <w:link w:val="50"/>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EastAsia" w:cstheme="minorBidi"/>
      <w:i/>
      <w:iCs/>
      <w:color w:val="104862" w:themeColor="accent1" w:themeShade="BF"/>
      <w:sz w:val="22"/>
    </w:rPr>
  </w:style>
  <w:style w:type="character" w:customStyle="1" w:styleId="50">
    <w:name w:val="明显引用 字符"/>
    <w:basedOn w:val="30"/>
    <w:link w:val="49"/>
    <w:qFormat/>
    <w:uiPriority w:val="30"/>
    <w:rPr>
      <w:i/>
      <w:iCs/>
      <w:color w:val="104862" w:themeColor="accent1" w:themeShade="BF"/>
    </w:rPr>
  </w:style>
  <w:style w:type="character" w:customStyle="1" w:styleId="51">
    <w:name w:val="明显参考1"/>
    <w:basedOn w:val="30"/>
    <w:qFormat/>
    <w:uiPriority w:val="32"/>
    <w:rPr>
      <w:b/>
      <w:bCs/>
      <w:smallCaps/>
      <w:color w:val="104862" w:themeColor="accent1" w:themeShade="BF"/>
      <w:spacing w:val="5"/>
    </w:rPr>
  </w:style>
  <w:style w:type="character" w:customStyle="1" w:styleId="52">
    <w:name w:val="正文文本缩进 字符"/>
    <w:basedOn w:val="30"/>
    <w:link w:val="3"/>
    <w:semiHidden/>
    <w:qFormat/>
    <w:uiPriority w:val="99"/>
    <w:rPr>
      <w:rFonts w:ascii="Calibri" w:hAnsi="Calibri" w:eastAsia="宋体" w:cs="Times New Roman"/>
      <w:sz w:val="21"/>
    </w:rPr>
  </w:style>
  <w:style w:type="character" w:customStyle="1" w:styleId="53">
    <w:name w:val="正文文本首行缩进 2 字符"/>
    <w:basedOn w:val="52"/>
    <w:link w:val="2"/>
    <w:qFormat/>
    <w:uiPriority w:val="0"/>
    <w:rPr>
      <w:rFonts w:ascii="Times New Roman" w:hAnsi="Times New Roman" w:eastAsia="宋体" w:cs="Times New Roman"/>
      <w:sz w:val="30"/>
    </w:rPr>
  </w:style>
  <w:style w:type="character" w:customStyle="1" w:styleId="54">
    <w:name w:val="批注文字 字符"/>
    <w:basedOn w:val="30"/>
    <w:link w:val="13"/>
    <w:qFormat/>
    <w:uiPriority w:val="99"/>
    <w:rPr>
      <w:rFonts w:ascii="Calibri" w:hAnsi="Calibri" w:eastAsia="宋体" w:cs="Times New Roman"/>
      <w:sz w:val="21"/>
    </w:rPr>
  </w:style>
  <w:style w:type="character" w:customStyle="1" w:styleId="55">
    <w:name w:val="正文文本 3 字符"/>
    <w:basedOn w:val="30"/>
    <w:link w:val="14"/>
    <w:qFormat/>
    <w:uiPriority w:val="0"/>
    <w:rPr>
      <w:rFonts w:ascii="Calibri" w:hAnsi="Calibri" w:eastAsia="宋体" w:cs="Times New Roman"/>
      <w:sz w:val="21"/>
      <w:szCs w:val="16"/>
    </w:rPr>
  </w:style>
  <w:style w:type="character" w:customStyle="1" w:styleId="56">
    <w:name w:val="正文文本 字符"/>
    <w:basedOn w:val="30"/>
    <w:link w:val="15"/>
    <w:qFormat/>
    <w:uiPriority w:val="99"/>
    <w:rPr>
      <w:rFonts w:ascii="Calibri" w:hAnsi="Calibri" w:eastAsia="宋体" w:cs="Times New Roman"/>
      <w:sz w:val="21"/>
    </w:rPr>
  </w:style>
  <w:style w:type="character" w:customStyle="1" w:styleId="57">
    <w:name w:val="纯文本 字符"/>
    <w:basedOn w:val="30"/>
    <w:link w:val="17"/>
    <w:qFormat/>
    <w:uiPriority w:val="0"/>
    <w:rPr>
      <w:rFonts w:ascii="宋体" w:hAnsi="Courier New" w:eastAsia="宋体" w:cs="Courier New"/>
      <w:sz w:val="21"/>
      <w:szCs w:val="21"/>
    </w:rPr>
  </w:style>
  <w:style w:type="character" w:customStyle="1" w:styleId="58">
    <w:name w:val="日期 字符"/>
    <w:basedOn w:val="30"/>
    <w:link w:val="18"/>
    <w:qFormat/>
    <w:uiPriority w:val="0"/>
    <w:rPr>
      <w:rFonts w:ascii="Calibri" w:hAnsi="Calibri" w:eastAsia="宋体" w:cs="Times New Roman"/>
      <w:sz w:val="21"/>
    </w:rPr>
  </w:style>
  <w:style w:type="character" w:customStyle="1" w:styleId="59">
    <w:name w:val="页脚 字符"/>
    <w:basedOn w:val="30"/>
    <w:link w:val="20"/>
    <w:qFormat/>
    <w:uiPriority w:val="0"/>
    <w:rPr>
      <w:rFonts w:ascii="Calibri" w:hAnsi="Calibri" w:eastAsia="宋体" w:cs="Times New Roman"/>
      <w:sz w:val="18"/>
    </w:rPr>
  </w:style>
  <w:style w:type="character" w:customStyle="1" w:styleId="60">
    <w:name w:val="页眉 字符"/>
    <w:basedOn w:val="30"/>
    <w:link w:val="21"/>
    <w:qFormat/>
    <w:uiPriority w:val="0"/>
    <w:rPr>
      <w:rFonts w:ascii="Calibri" w:hAnsi="Calibri" w:eastAsia="宋体" w:cs="Times New Roman"/>
      <w:sz w:val="18"/>
    </w:rPr>
  </w:style>
  <w:style w:type="character" w:customStyle="1" w:styleId="61">
    <w:name w:val="NormalCharacter"/>
    <w:semiHidden/>
    <w:qFormat/>
    <w:uiPriority w:val="0"/>
  </w:style>
  <w:style w:type="paragraph" w:customStyle="1" w:styleId="62">
    <w:name w:val="Table Paragraph"/>
    <w:qFormat/>
    <w:uiPriority w:val="1"/>
    <w:pPr>
      <w:widowControl w:val="0"/>
      <w:autoSpaceDE w:val="0"/>
      <w:autoSpaceDN w:val="0"/>
      <w:adjustRightInd w:val="0"/>
      <w:spacing w:after="160" w:line="278" w:lineRule="auto"/>
    </w:pPr>
    <w:rPr>
      <w:rFonts w:ascii="Calibri" w:hAnsi="Calibri" w:eastAsia="宋体" w:cs="Times New Roman"/>
      <w:sz w:val="24"/>
      <w:szCs w:val="24"/>
      <w:lang w:val="en-US" w:eastAsia="zh-CN" w:bidi="ar-SA"/>
    </w:rPr>
  </w:style>
  <w:style w:type="paragraph" w:customStyle="1" w:styleId="63">
    <w:name w:val="表格文字"/>
    <w:basedOn w:val="1"/>
    <w:qFormat/>
    <w:uiPriority w:val="0"/>
    <w:pPr>
      <w:spacing w:before="25" w:after="25"/>
      <w:jc w:val="left"/>
    </w:pPr>
    <w:rPr>
      <w:bCs/>
      <w:spacing w:val="10"/>
      <w:kern w:val="0"/>
      <w:sz w:val="24"/>
    </w:rPr>
  </w:style>
  <w:style w:type="paragraph" w:customStyle="1" w:styleId="64">
    <w:name w:val="附件正文"/>
    <w:basedOn w:val="1"/>
    <w:qFormat/>
    <w:uiPriority w:val="0"/>
    <w:pPr>
      <w:snapToGrid w:val="0"/>
      <w:spacing w:after="120" w:line="360" w:lineRule="auto"/>
      <w:ind w:firstLine="425"/>
    </w:pPr>
    <w:rPr>
      <w:rFonts w:ascii="宋体" w:hAnsi="宋体"/>
      <w:bCs/>
      <w:spacing w:val="10"/>
      <w:kern w:val="0"/>
      <w:sz w:val="24"/>
    </w:rPr>
  </w:style>
  <w:style w:type="paragraph" w:customStyle="1" w:styleId="65">
    <w:name w:val="修订1"/>
    <w:hidden/>
    <w:unhideWhenUsed/>
    <w:qFormat/>
    <w:uiPriority w:val="99"/>
    <w:pPr>
      <w:spacing w:after="160" w:line="278" w:lineRule="auto"/>
    </w:pPr>
    <w:rPr>
      <w:rFonts w:ascii="Calibri" w:hAnsi="Calibri" w:eastAsia="宋体" w:cs="Times New Roman"/>
      <w:kern w:val="2"/>
      <w:sz w:val="21"/>
      <w:szCs w:val="24"/>
      <w:lang w:val="en-US" w:eastAsia="zh-CN" w:bidi="ar-SA"/>
    </w:rPr>
  </w:style>
  <w:style w:type="character" w:customStyle="1" w:styleId="66">
    <w:name w:val="批注主题 字符"/>
    <w:basedOn w:val="54"/>
    <w:link w:val="27"/>
    <w:qFormat/>
    <w:uiPriority w:val="0"/>
    <w:rPr>
      <w:rFonts w:ascii="Calibri" w:hAnsi="Calibri" w:eastAsia="宋体" w:cs="Times New Roman"/>
      <w:b/>
      <w:bCs/>
      <w:sz w:val="21"/>
    </w:rPr>
  </w:style>
  <w:style w:type="character" w:customStyle="1" w:styleId="67">
    <w:name w:val="批注框文本 字符"/>
    <w:basedOn w:val="30"/>
    <w:link w:val="19"/>
    <w:qFormat/>
    <w:uiPriority w:val="0"/>
    <w:rPr>
      <w:kern w:val="2"/>
      <w:sz w:val="18"/>
      <w:szCs w:val="18"/>
    </w:rPr>
  </w:style>
  <w:style w:type="paragraph" w:customStyle="1" w:styleId="68">
    <w:name w:val="修订2"/>
    <w:hidden/>
    <w:unhideWhenUsed/>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77EC6-FA0F-4AA2-8C90-E37B5597394E}">
  <ds:schemaRefs/>
</ds:datastoreItem>
</file>

<file path=docProps/app.xml><?xml version="1.0" encoding="utf-8"?>
<Properties xmlns="http://schemas.openxmlformats.org/officeDocument/2006/extended-properties" xmlns:vt="http://schemas.openxmlformats.org/officeDocument/2006/docPropsVTypes">
  <Template>Normal.dotm</Template>
  <Pages>7</Pages>
  <Words>1343</Words>
  <Characters>1569</Characters>
  <Lines>33</Lines>
  <Paragraphs>24</Paragraphs>
  <TotalTime>12</TotalTime>
  <ScaleCrop>false</ScaleCrop>
  <LinksUpToDate>false</LinksUpToDate>
  <CharactersWithSpaces>1593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2025-06-02T14:16:00Z</dcterms:created>
  <dc:creator>佳欣 方</dc:creator>
  <cp:lastModifiedBy>李华</cp:lastModifiedBy>
  <cp:lastPrinted>2025-06-03T01:35:00Z</cp:lastPrinted>
  <dcterms:modified xsi:type="dcterms:W3CDTF">2025-06-03T07:54:18Z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eyJoZGlkIjoiODJhZDJkZGZlYjM3MjdmZWQ0OTUzM2JmYTU0MzVkZjgiLCJ1c2VySWQiOiI3NzE3Njg3NjAifQ==</vt:lpwstr>
  </property>
  <property fmtid="{D5CDD505-2E9C-101B-9397-08002B2CF9AE}" pid="3" name="KSOProductBuildVer">
    <vt:lpwstr>2052-12.1.0.20784</vt:lpwstr>
  </property>
  <property fmtid="{D5CDD505-2E9C-101B-9397-08002B2CF9AE}" pid="4" name="ICV">
    <vt:lpwstr>EE57B5F050CB47C49D61BE6D81BE638C_12</vt:lpwstr>
  </property>
</Properties>
</file>